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60" w:rsidRPr="001630C4" w:rsidRDefault="00736B60">
      <w:pPr>
        <w:rPr>
          <w:lang w:val="cs-CZ"/>
        </w:rPr>
      </w:pPr>
    </w:p>
    <w:p w:rsidR="00736B60" w:rsidRPr="001630C4" w:rsidRDefault="00736B60" w:rsidP="00736B60">
      <w:pPr>
        <w:spacing w:after="0"/>
        <w:jc w:val="center"/>
        <w:rPr>
          <w:b/>
          <w:bCs/>
          <w:sz w:val="28"/>
          <w:szCs w:val="28"/>
          <w:lang w:val="cs-CZ"/>
        </w:rPr>
      </w:pPr>
      <w:r w:rsidRPr="001630C4">
        <w:rPr>
          <w:b/>
          <w:bCs/>
          <w:sz w:val="28"/>
          <w:szCs w:val="28"/>
          <w:lang w:val="cs-CZ"/>
        </w:rPr>
        <w:t>Tisková zpráva Platformy proti hlubinnému úložišti</w:t>
      </w:r>
    </w:p>
    <w:p w:rsidR="001630C4" w:rsidRPr="001630C4" w:rsidRDefault="001630C4" w:rsidP="00736B60">
      <w:pPr>
        <w:jc w:val="center"/>
        <w:rPr>
          <w:b/>
          <w:bCs/>
          <w:sz w:val="8"/>
          <w:szCs w:val="8"/>
          <w:lang w:val="cs-CZ"/>
        </w:rPr>
      </w:pPr>
    </w:p>
    <w:p w:rsidR="00736B60" w:rsidRPr="001630C4" w:rsidRDefault="00B16DCE" w:rsidP="00736B60">
      <w:pPr>
        <w:jc w:val="center"/>
        <w:rPr>
          <w:b/>
          <w:bCs/>
          <w:sz w:val="28"/>
          <w:szCs w:val="28"/>
          <w:lang w:val="cs-CZ"/>
        </w:rPr>
      </w:pPr>
      <w:proofErr w:type="gramStart"/>
      <w:r>
        <w:rPr>
          <w:b/>
          <w:bCs/>
          <w:sz w:val="28"/>
          <w:szCs w:val="28"/>
          <w:lang w:val="cs-CZ"/>
        </w:rPr>
        <w:t>ze</w:t>
      </w:r>
      <w:proofErr w:type="gramEnd"/>
      <w:r>
        <w:rPr>
          <w:b/>
          <w:bCs/>
          <w:sz w:val="28"/>
          <w:szCs w:val="28"/>
          <w:lang w:val="cs-CZ"/>
        </w:rPr>
        <w:t xml:space="preserve"> 3. května</w:t>
      </w:r>
      <w:r w:rsidR="00FA0735">
        <w:rPr>
          <w:b/>
          <w:bCs/>
          <w:sz w:val="28"/>
          <w:szCs w:val="28"/>
          <w:lang w:val="cs-CZ"/>
        </w:rPr>
        <w:t xml:space="preserve"> </w:t>
      </w:r>
      <w:r w:rsidR="00736B60" w:rsidRPr="001630C4">
        <w:rPr>
          <w:b/>
          <w:bCs/>
          <w:sz w:val="28"/>
          <w:szCs w:val="28"/>
          <w:lang w:val="cs-CZ"/>
        </w:rPr>
        <w:t>2023</w:t>
      </w:r>
    </w:p>
    <w:p w:rsidR="00736B60" w:rsidRPr="001630C4" w:rsidRDefault="00FA0735" w:rsidP="00736B60">
      <w:pPr>
        <w:spacing w:after="0" w:line="240" w:lineRule="auto"/>
        <w:jc w:val="center"/>
        <w:rPr>
          <w:b/>
          <w:bCs/>
          <w:color w:val="339933"/>
          <w:sz w:val="36"/>
          <w:szCs w:val="36"/>
          <w:lang w:val="cs-CZ"/>
        </w:rPr>
      </w:pPr>
      <w:r>
        <w:rPr>
          <w:b/>
          <w:bCs/>
          <w:color w:val="339933"/>
          <w:sz w:val="36"/>
          <w:szCs w:val="36"/>
          <w:lang w:val="cs-CZ"/>
        </w:rPr>
        <w:t>Zákon o úložišti prošel prvním čtením v Poslanecké sněmovně, obce doufají v jeho změnu</w:t>
      </w:r>
    </w:p>
    <w:p w:rsidR="00736B60" w:rsidRPr="00433CF4" w:rsidRDefault="00736B60" w:rsidP="00433CF4">
      <w:pPr>
        <w:spacing w:after="0" w:line="240" w:lineRule="auto"/>
        <w:jc w:val="center"/>
        <w:rPr>
          <w:b/>
          <w:bCs/>
          <w:sz w:val="32"/>
          <w:szCs w:val="32"/>
          <w:lang w:val="cs-CZ"/>
        </w:rPr>
      </w:pPr>
    </w:p>
    <w:p w:rsidR="00F06819" w:rsidRPr="00433CF4" w:rsidRDefault="00FA0735" w:rsidP="00F06819">
      <w:pPr>
        <w:spacing w:after="120" w:line="240" w:lineRule="auto"/>
        <w:jc w:val="both"/>
        <w:rPr>
          <w:lang w:val="cs-CZ"/>
        </w:rPr>
      </w:pPr>
      <w:r>
        <w:rPr>
          <w:b/>
          <w:bCs/>
          <w:lang w:val="cs-CZ"/>
        </w:rPr>
        <w:t>Prvním čtením v Poslanecké sněmovně prošel dnes</w:t>
      </w:r>
      <w:r w:rsidR="001630C4" w:rsidRPr="00433CF4">
        <w:rPr>
          <w:b/>
          <w:lang w:val="cs-CZ"/>
        </w:rPr>
        <w:t xml:space="preserve"> </w:t>
      </w:r>
      <w:r w:rsidR="001630C4" w:rsidRPr="00433CF4">
        <w:rPr>
          <w:b/>
          <w:i/>
          <w:lang w:val="cs-CZ"/>
        </w:rPr>
        <w:t>„Návrh zákona o řízeních souvisejících s hlubinným úložištěm radioaktivního odpadu“</w:t>
      </w:r>
      <w:r w:rsidR="009B3F9D" w:rsidRPr="00433CF4">
        <w:rPr>
          <w:b/>
          <w:i/>
          <w:lang w:val="cs-CZ"/>
        </w:rPr>
        <w:t xml:space="preserve"> </w:t>
      </w:r>
      <w:r w:rsidR="009B3F9D" w:rsidRPr="00433CF4">
        <w:rPr>
          <w:lang w:val="cs-CZ"/>
        </w:rPr>
        <w:t>[1]</w:t>
      </w:r>
      <w:r w:rsidR="00F06819" w:rsidRPr="00F06819">
        <w:rPr>
          <w:b/>
          <w:lang w:val="cs-CZ"/>
        </w:rPr>
        <w:t>, projednán má být v </w:t>
      </w:r>
      <w:r w:rsidR="00F06819" w:rsidRPr="00B16DCE">
        <w:rPr>
          <w:b/>
          <w:lang w:val="cs-CZ"/>
        </w:rPr>
        <w:t>Hospodářském výboru a v</w:t>
      </w:r>
      <w:r w:rsidR="00B16DCE" w:rsidRPr="00B16DCE">
        <w:rPr>
          <w:b/>
          <w:lang w:val="cs-CZ"/>
        </w:rPr>
        <w:t>e Výboru pro životní prostředí.</w:t>
      </w:r>
      <w:r w:rsidR="00F06819" w:rsidRPr="00B16DCE">
        <w:rPr>
          <w:i/>
          <w:lang w:val="cs-CZ"/>
        </w:rPr>
        <w:t xml:space="preserve"> </w:t>
      </w:r>
      <w:r w:rsidR="009B3F9D" w:rsidRPr="00B16DCE">
        <w:rPr>
          <w:i/>
          <w:lang w:val="cs-CZ"/>
        </w:rPr>
        <w:t xml:space="preserve"> </w:t>
      </w:r>
      <w:r w:rsidR="00F06819" w:rsidRPr="00B16DCE">
        <w:rPr>
          <w:i/>
          <w:lang w:val="cs-CZ"/>
        </w:rPr>
        <w:t xml:space="preserve"> </w:t>
      </w:r>
      <w:r w:rsidR="00F06819" w:rsidRPr="00B16DCE">
        <w:rPr>
          <w:b/>
          <w:lang w:val="cs-CZ"/>
        </w:rPr>
        <w:t>Obce a spolky sdružené v</w:t>
      </w:r>
      <w:r w:rsidR="00F06819" w:rsidRPr="00B16DCE">
        <w:rPr>
          <w:i/>
          <w:lang w:val="cs-CZ"/>
        </w:rPr>
        <w:t> </w:t>
      </w:r>
      <w:r w:rsidR="00F06819" w:rsidRPr="00B16DCE">
        <w:rPr>
          <w:b/>
          <w:lang w:val="cs-CZ"/>
        </w:rPr>
        <w:t xml:space="preserve">Platformě proti hlubinnému úložišti, ale i další dotčené obce usilují </w:t>
      </w:r>
      <w:r w:rsidR="001630C4" w:rsidRPr="00B16DCE">
        <w:rPr>
          <w:b/>
          <w:lang w:val="cs-CZ"/>
        </w:rPr>
        <w:t>o</w:t>
      </w:r>
      <w:r w:rsidR="00F06819" w:rsidRPr="00B16DCE">
        <w:rPr>
          <w:b/>
          <w:lang w:val="cs-CZ"/>
        </w:rPr>
        <w:t xml:space="preserve"> přijetí takových pozměňovacích návrhů</w:t>
      </w:r>
      <w:r w:rsidR="009B3F9D" w:rsidRPr="00B16DCE">
        <w:rPr>
          <w:b/>
          <w:lang w:val="cs-CZ"/>
        </w:rPr>
        <w:t xml:space="preserve">, </w:t>
      </w:r>
      <w:r w:rsidR="00F06819" w:rsidRPr="00B16DCE">
        <w:rPr>
          <w:b/>
          <w:lang w:val="cs-CZ"/>
        </w:rPr>
        <w:t xml:space="preserve">které zajistí </w:t>
      </w:r>
      <w:r w:rsidR="009B3F9D" w:rsidRPr="00B16DCE">
        <w:rPr>
          <w:b/>
          <w:lang w:val="cs-CZ"/>
        </w:rPr>
        <w:t>respektování</w:t>
      </w:r>
      <w:bookmarkStart w:id="0" w:name="_GoBack"/>
      <w:bookmarkEnd w:id="0"/>
      <w:r w:rsidR="009B3F9D" w:rsidRPr="00433CF4">
        <w:rPr>
          <w:b/>
          <w:lang w:val="cs-CZ"/>
        </w:rPr>
        <w:t xml:space="preserve"> zájmů obcí a jejich občanů, jak je požaduje i nový atomový zákon </w:t>
      </w:r>
      <w:r w:rsidR="009B3F9D" w:rsidRPr="00433CF4">
        <w:rPr>
          <w:lang w:val="cs-CZ"/>
        </w:rPr>
        <w:t xml:space="preserve">[2]. </w:t>
      </w:r>
      <w:r w:rsidR="00F06819" w:rsidRPr="00CF2C8B">
        <w:rPr>
          <w:b/>
          <w:lang w:val="cs-CZ"/>
        </w:rPr>
        <w:t>Podoba dlouho očekávané legislativní normy, jak ji již 11. ledna přijala vláda, tento požadavek naplnit nemůže</w:t>
      </w:r>
      <w:r w:rsidR="00CF2C8B" w:rsidRPr="00CF2C8B">
        <w:rPr>
          <w:b/>
          <w:lang w:val="cs-CZ"/>
        </w:rPr>
        <w:t xml:space="preserve">. Upozornili na to také starostky a starostové i </w:t>
      </w:r>
      <w:r w:rsidR="00CF2C8B">
        <w:rPr>
          <w:b/>
          <w:lang w:val="cs-CZ"/>
        </w:rPr>
        <w:t>stovky obyvatel</w:t>
      </w:r>
      <w:r w:rsidR="00CF2C8B" w:rsidRPr="00CF2C8B">
        <w:rPr>
          <w:b/>
          <w:lang w:val="cs-CZ"/>
        </w:rPr>
        <w:t xml:space="preserve"> obcí na akcích Dne proti úložišti, které se na čtyřech lokalitách vybraných pro hledání úložiště uskutečnily v sobotu 15. dubna</w:t>
      </w:r>
      <w:r w:rsidR="00CF2C8B">
        <w:rPr>
          <w:b/>
          <w:lang w:val="cs-CZ"/>
        </w:rPr>
        <w:t xml:space="preserve"> </w:t>
      </w:r>
      <w:r w:rsidR="00CF2C8B">
        <w:rPr>
          <w:lang w:val="cs-CZ"/>
        </w:rPr>
        <w:t>[3]</w:t>
      </w:r>
      <w:r w:rsidR="00CF2C8B" w:rsidRPr="00CF2C8B">
        <w:rPr>
          <w:b/>
          <w:lang w:val="cs-CZ"/>
        </w:rPr>
        <w:t>.</w:t>
      </w:r>
    </w:p>
    <w:p w:rsidR="00F06819" w:rsidRDefault="00CF2C8B" w:rsidP="00433CF4">
      <w:pPr>
        <w:spacing w:after="120" w:line="240" w:lineRule="auto"/>
        <w:jc w:val="both"/>
        <w:rPr>
          <w:lang w:val="cs-CZ"/>
        </w:rPr>
      </w:pPr>
      <w:r>
        <w:rPr>
          <w:lang w:val="cs-CZ"/>
        </w:rPr>
        <w:t xml:space="preserve">Požadavek obcí na spolurozhodování o tak mimořádné stavbě </w:t>
      </w:r>
      <w:r w:rsidRPr="00700D75">
        <w:rPr>
          <w:lang w:val="cs-CZ"/>
        </w:rPr>
        <w:t>je princip běžně používaný v mnoha demokraticky vyspělých zemích a rozhodně pak v těch, kde již p</w:t>
      </w:r>
      <w:r>
        <w:rPr>
          <w:lang w:val="cs-CZ"/>
        </w:rPr>
        <w:t>okročili v povolování úložiště, jako je Finsko [4]</w:t>
      </w:r>
      <w:r>
        <w:rPr>
          <w:b/>
          <w:lang w:val="cs-CZ"/>
        </w:rPr>
        <w:t xml:space="preserve"> </w:t>
      </w:r>
      <w:r>
        <w:rPr>
          <w:lang w:val="cs-CZ"/>
        </w:rPr>
        <w:t>nebo Švédsko. V České republice p</w:t>
      </w:r>
      <w:r w:rsidRPr="00700D75">
        <w:rPr>
          <w:lang w:val="cs-CZ"/>
        </w:rPr>
        <w:t>ředstavitelé obcí reálně nemají příliš možností, jak obhajovat zájmy svých občanů při hledání místa pro úložiště</w:t>
      </w:r>
      <w:r>
        <w:rPr>
          <w:lang w:val="cs-CZ"/>
        </w:rPr>
        <w:t>.  Posílení jejich práv by mohlo pozitivně posunout dnešní kontroverzní proces.</w:t>
      </w:r>
    </w:p>
    <w:p w:rsidR="008F0E2C" w:rsidRDefault="008F0E2C" w:rsidP="00433CF4">
      <w:pPr>
        <w:spacing w:after="120" w:line="240" w:lineRule="auto"/>
        <w:jc w:val="both"/>
        <w:rPr>
          <w:lang w:val="cs-CZ"/>
        </w:rPr>
      </w:pPr>
      <w:r>
        <w:rPr>
          <w:lang w:val="cs-CZ"/>
        </w:rPr>
        <w:t xml:space="preserve">Dotčeným samosprávám se rovněž nelíbí, že Správa úložišť radioaktivních odpadů (SÚRAO) spustila proces povolování průzkumných území pro geologické práce před tím, než byl zákon přijat. Tato správní řízení tak proběhnou podle dnes platných zákonů a ne podle projednávaného </w:t>
      </w:r>
      <w:r w:rsidRPr="008F0E2C">
        <w:rPr>
          <w:lang w:val="cs-CZ"/>
        </w:rPr>
        <w:t>zákona o řízeních souvisejících s hlubinným úložištěm radioaktivního odpadu</w:t>
      </w:r>
      <w:r>
        <w:rPr>
          <w:lang w:val="cs-CZ"/>
        </w:rPr>
        <w:t>.</w:t>
      </w:r>
    </w:p>
    <w:p w:rsidR="00736B60" w:rsidRPr="001630C4" w:rsidRDefault="00433CF4" w:rsidP="00736B60">
      <w:pPr>
        <w:spacing w:after="0" w:line="240" w:lineRule="auto"/>
        <w:jc w:val="both"/>
        <w:rPr>
          <w:b/>
          <w:i/>
          <w:color w:val="auto"/>
          <w:lang w:val="cs-CZ"/>
        </w:rPr>
      </w:pPr>
      <w:r>
        <w:rPr>
          <w:b/>
          <w:color w:val="auto"/>
          <w:lang w:val="cs-CZ"/>
        </w:rPr>
        <w:t>Antonín Seknička</w:t>
      </w:r>
      <w:r w:rsidR="00736B60" w:rsidRPr="001630C4">
        <w:rPr>
          <w:b/>
          <w:color w:val="auto"/>
          <w:lang w:val="cs-CZ"/>
        </w:rPr>
        <w:t>, mluvčí Platformy proti hlubinnému úložišti řekl:</w:t>
      </w:r>
      <w:r w:rsidR="00736B60" w:rsidRPr="001630C4">
        <w:rPr>
          <w:b/>
          <w:i/>
          <w:color w:val="auto"/>
          <w:lang w:val="cs-CZ"/>
        </w:rPr>
        <w:t xml:space="preserve"> </w:t>
      </w:r>
    </w:p>
    <w:p w:rsidR="00736B60" w:rsidRDefault="00736B60" w:rsidP="00433CF4">
      <w:pPr>
        <w:spacing w:after="120" w:line="240" w:lineRule="auto"/>
        <w:jc w:val="both"/>
        <w:rPr>
          <w:bCs/>
          <w:i/>
          <w:color w:val="000000" w:themeColor="text1"/>
          <w:lang w:val="cs-CZ"/>
        </w:rPr>
      </w:pPr>
      <w:r w:rsidRPr="001630C4">
        <w:rPr>
          <w:bCs/>
          <w:i/>
          <w:color w:val="000000" w:themeColor="text1"/>
          <w:lang w:val="cs-CZ"/>
        </w:rPr>
        <w:t>„</w:t>
      </w:r>
      <w:r w:rsidR="00410590" w:rsidRPr="00410590">
        <w:rPr>
          <w:bCs/>
          <w:i/>
          <w:color w:val="000000" w:themeColor="text1"/>
          <w:lang w:val="cs-CZ"/>
        </w:rPr>
        <w:t>Pokud by byl zákon přijat v nezměněné podobě, neměla by vyjádření postižených obcí</w:t>
      </w:r>
      <w:r w:rsidR="00410590">
        <w:rPr>
          <w:bCs/>
          <w:i/>
          <w:color w:val="000000" w:themeColor="text1"/>
          <w:lang w:val="cs-CZ"/>
        </w:rPr>
        <w:t xml:space="preserve"> potřebnou</w:t>
      </w:r>
      <w:r w:rsidR="00410590" w:rsidRPr="00410590">
        <w:rPr>
          <w:bCs/>
          <w:i/>
          <w:color w:val="000000" w:themeColor="text1"/>
          <w:lang w:val="cs-CZ"/>
        </w:rPr>
        <w:t xml:space="preserve"> váhu a </w:t>
      </w:r>
      <w:r w:rsidR="00410590">
        <w:rPr>
          <w:bCs/>
          <w:i/>
          <w:color w:val="000000" w:themeColor="text1"/>
          <w:lang w:val="cs-CZ"/>
        </w:rPr>
        <w:t xml:space="preserve">prakticky </w:t>
      </w:r>
      <w:r w:rsidR="00410590" w:rsidRPr="00410590">
        <w:rPr>
          <w:bCs/>
          <w:i/>
          <w:color w:val="000000" w:themeColor="text1"/>
          <w:lang w:val="cs-CZ"/>
        </w:rPr>
        <w:t xml:space="preserve">žádný význam. Opravdové posílení práv </w:t>
      </w:r>
      <w:r w:rsidR="00410590">
        <w:rPr>
          <w:bCs/>
          <w:i/>
          <w:color w:val="000000" w:themeColor="text1"/>
          <w:lang w:val="cs-CZ"/>
        </w:rPr>
        <w:t xml:space="preserve">samospráv </w:t>
      </w:r>
      <w:r w:rsidR="00410590" w:rsidRPr="00410590">
        <w:rPr>
          <w:bCs/>
          <w:i/>
          <w:color w:val="000000" w:themeColor="text1"/>
          <w:lang w:val="cs-CZ"/>
        </w:rPr>
        <w:t>je nutností. Shromáždění občanů na Dni proti úložišti připomnělo, jak velký vliv na lokality případná stavba bude mít. Mnoho občanů je stále překvapováno, že výstavba se nedotkne jen obcí jmenovaných v ofici</w:t>
      </w:r>
      <w:r w:rsidR="00410590">
        <w:rPr>
          <w:bCs/>
          <w:i/>
          <w:color w:val="000000" w:themeColor="text1"/>
          <w:lang w:val="cs-CZ"/>
        </w:rPr>
        <w:t xml:space="preserve">álních dokumentech, </w:t>
      </w:r>
      <w:r w:rsidR="00410590" w:rsidRPr="00410590">
        <w:rPr>
          <w:bCs/>
          <w:i/>
          <w:color w:val="000000" w:themeColor="text1"/>
          <w:lang w:val="cs-CZ"/>
        </w:rPr>
        <w:t>ale i okolních, které nikdy nebudou moci reagovat a nikdy se na ně nedostane i s případnými nejasnými kompenzacemi.</w:t>
      </w:r>
      <w:r w:rsidR="00410590">
        <w:rPr>
          <w:bCs/>
          <w:i/>
          <w:color w:val="000000" w:themeColor="text1"/>
          <w:lang w:val="cs-CZ"/>
        </w:rPr>
        <w:t>“</w:t>
      </w:r>
    </w:p>
    <w:p w:rsidR="00736B60" w:rsidRPr="001630C4" w:rsidRDefault="00736B60" w:rsidP="00736B60">
      <w:pPr>
        <w:spacing w:after="0" w:line="240" w:lineRule="auto"/>
        <w:jc w:val="both"/>
        <w:rPr>
          <w:b/>
          <w:i/>
          <w:color w:val="auto"/>
          <w:lang w:val="cs-CZ"/>
        </w:rPr>
      </w:pPr>
      <w:r w:rsidRPr="001630C4">
        <w:rPr>
          <w:b/>
          <w:bCs/>
          <w:lang w:val="cs-CZ"/>
        </w:rPr>
        <w:t>Platforma proti hlubinnému úložišti</w:t>
      </w:r>
      <w:r w:rsidRPr="001630C4">
        <w:rPr>
          <w:lang w:val="cs-CZ"/>
        </w:rPr>
        <w:t xml:space="preserve"> sdružuje 52 členů (35 obcí a měst a 17 spolků) za účelem </w:t>
      </w:r>
      <w:r w:rsidRPr="001630C4">
        <w:rPr>
          <w:rStyle w:val="Siln"/>
          <w:lang w:val="cs-CZ"/>
        </w:rPr>
        <w:t>prosazení</w:t>
      </w:r>
      <w:r w:rsidRPr="001630C4">
        <w:rPr>
          <w:b/>
          <w:lang w:val="cs-CZ"/>
        </w:rPr>
        <w:t xml:space="preserve"> </w:t>
      </w:r>
      <w:r w:rsidRPr="001630C4">
        <w:rPr>
          <w:lang w:val="cs-CZ"/>
        </w:rPr>
        <w:t xml:space="preserve">změny v přístupu státu k nakládání s vyhořelým jaderným palivem a dalšími radioaktivními odpady, který se nebude omezovat jen na hlubinné úložiště. Platforma dále prosazuje, aby </w:t>
      </w:r>
      <w:r w:rsidRPr="001630C4">
        <w:rPr>
          <w:rStyle w:val="Siln"/>
          <w:lang w:val="cs-CZ"/>
        </w:rPr>
        <w:t>rozhodnutí o výběru lokality</w:t>
      </w:r>
      <w:r w:rsidRPr="001630C4">
        <w:rPr>
          <w:b/>
          <w:lang w:val="cs-CZ"/>
        </w:rPr>
        <w:t xml:space="preserve"> </w:t>
      </w:r>
      <w:r w:rsidRPr="001630C4">
        <w:rPr>
          <w:lang w:val="cs-CZ"/>
        </w:rPr>
        <w:t>pro případné ukládání bylo</w:t>
      </w:r>
      <w:r w:rsidRPr="001630C4">
        <w:rPr>
          <w:b/>
          <w:lang w:val="cs-CZ"/>
        </w:rPr>
        <w:t xml:space="preserve"> </w:t>
      </w:r>
      <w:r w:rsidRPr="001630C4">
        <w:rPr>
          <w:rStyle w:val="Siln"/>
          <w:lang w:val="cs-CZ"/>
        </w:rPr>
        <w:t>podmíněno předchozím souhlasem dotčených obcí</w:t>
      </w:r>
      <w:r w:rsidRPr="001630C4">
        <w:rPr>
          <w:b/>
          <w:lang w:val="cs-CZ"/>
        </w:rPr>
        <w:t xml:space="preserve">. </w:t>
      </w:r>
      <w:hyperlink r:id="rId8" w:history="1">
        <w:r w:rsidRPr="001630C4">
          <w:rPr>
            <w:rStyle w:val="Hyperlink0"/>
            <w:lang w:val="cs-CZ"/>
          </w:rPr>
          <w:t>www.platformaprotiulozisti.cz</w:t>
        </w:r>
      </w:hyperlink>
    </w:p>
    <w:p w:rsidR="00EB2882" w:rsidRPr="001630C4" w:rsidRDefault="00EB2882" w:rsidP="00736B60">
      <w:pPr>
        <w:spacing w:after="80" w:line="240" w:lineRule="auto"/>
        <w:rPr>
          <w:b/>
          <w:bCs/>
          <w:u w:val="single"/>
          <w:lang w:val="cs-CZ"/>
        </w:rPr>
      </w:pPr>
    </w:p>
    <w:p w:rsidR="00736B60" w:rsidRPr="001630C4" w:rsidRDefault="00736B60" w:rsidP="00736B60">
      <w:pPr>
        <w:spacing w:after="80" w:line="240" w:lineRule="auto"/>
        <w:rPr>
          <w:b/>
          <w:bCs/>
          <w:u w:val="single"/>
          <w:lang w:val="cs-CZ"/>
        </w:rPr>
      </w:pPr>
      <w:r w:rsidRPr="001630C4">
        <w:rPr>
          <w:b/>
          <w:bCs/>
          <w:u w:val="single"/>
          <w:lang w:val="cs-CZ"/>
        </w:rPr>
        <w:t xml:space="preserve">Další informace může poskytnout: </w:t>
      </w:r>
    </w:p>
    <w:p w:rsidR="00736B60" w:rsidRPr="001630C4" w:rsidRDefault="00736B60" w:rsidP="00736B60">
      <w:pPr>
        <w:spacing w:after="0" w:line="240" w:lineRule="auto"/>
        <w:rPr>
          <w:rFonts w:eastAsia="Times New Roman"/>
          <w:bCs/>
          <w:lang w:val="cs-CZ"/>
        </w:rPr>
      </w:pPr>
      <w:r w:rsidRPr="001630C4">
        <w:rPr>
          <w:b/>
          <w:iCs/>
          <w:lang w:val="cs-CZ"/>
        </w:rPr>
        <w:t>Antonín Seknička</w:t>
      </w:r>
      <w:r w:rsidRPr="001630C4">
        <w:rPr>
          <w:iCs/>
          <w:lang w:val="cs-CZ"/>
        </w:rPr>
        <w:t xml:space="preserve">, </w:t>
      </w:r>
      <w:r w:rsidRPr="001630C4">
        <w:rPr>
          <w:lang w:val="cs-CZ"/>
        </w:rPr>
        <w:t>mluvčí Platformy proti hlubinnému úložišti a</w:t>
      </w:r>
      <w:r w:rsidRPr="001630C4">
        <w:rPr>
          <w:rFonts w:eastAsia="Times New Roman"/>
          <w:bCs/>
          <w:lang w:val="cs-CZ"/>
        </w:rPr>
        <w:t xml:space="preserve"> místostarosta obce Cejle</w:t>
      </w:r>
    </w:p>
    <w:p w:rsidR="00736B60" w:rsidRPr="001630C4" w:rsidRDefault="00736B60" w:rsidP="00736B60">
      <w:pPr>
        <w:pStyle w:val="FormtovanvHTML"/>
        <w:rPr>
          <w:rFonts w:ascii="Calibri" w:hAnsi="Calibri" w:cs="Calibri"/>
          <w:sz w:val="22"/>
          <w:szCs w:val="22"/>
        </w:rPr>
      </w:pPr>
      <w:r w:rsidRPr="001630C4">
        <w:rPr>
          <w:rFonts w:ascii="Calibri" w:hAnsi="Calibri" w:cs="Calibri"/>
          <w:bCs/>
          <w:sz w:val="22"/>
          <w:szCs w:val="22"/>
        </w:rPr>
        <w:t xml:space="preserve">tel.: </w:t>
      </w:r>
      <w:r w:rsidRPr="001630C4">
        <w:rPr>
          <w:rFonts w:ascii="Calibri" w:hAnsi="Calibri" w:cs="Calibri"/>
          <w:sz w:val="22"/>
          <w:szCs w:val="22"/>
        </w:rPr>
        <w:t>733 309 796</w:t>
      </w:r>
      <w:r w:rsidRPr="001630C4">
        <w:rPr>
          <w:rFonts w:ascii="Calibri" w:hAnsi="Calibri" w:cs="Calibri"/>
          <w:bCs/>
          <w:sz w:val="22"/>
          <w:szCs w:val="22"/>
        </w:rPr>
        <w:t>, e-mail: mistostarosta@cejle.cz</w:t>
      </w:r>
    </w:p>
    <w:p w:rsidR="00736B60" w:rsidRPr="00932532" w:rsidRDefault="00736B60" w:rsidP="001630C4">
      <w:pPr>
        <w:spacing w:after="80" w:line="240" w:lineRule="auto"/>
        <w:rPr>
          <w:rStyle w:val="None"/>
          <w:b/>
          <w:bCs/>
          <w:u w:val="single"/>
          <w:lang w:val="cs-CZ"/>
        </w:rPr>
      </w:pPr>
    </w:p>
    <w:p w:rsidR="00736B60" w:rsidRPr="00932532" w:rsidRDefault="00736B60" w:rsidP="001630C4">
      <w:pPr>
        <w:spacing w:after="80" w:line="240" w:lineRule="auto"/>
        <w:rPr>
          <w:rStyle w:val="None"/>
          <w:b/>
          <w:bCs/>
          <w:u w:val="single"/>
          <w:lang w:val="cs-CZ"/>
        </w:rPr>
      </w:pPr>
      <w:r w:rsidRPr="00932532">
        <w:rPr>
          <w:rStyle w:val="None"/>
          <w:b/>
          <w:bCs/>
          <w:u w:val="single"/>
          <w:lang w:val="cs-CZ"/>
        </w:rPr>
        <w:t>Poznámky:</w:t>
      </w:r>
    </w:p>
    <w:p w:rsidR="00FA0735" w:rsidRDefault="00FA0735" w:rsidP="001630C4">
      <w:pPr>
        <w:spacing w:after="80" w:line="240" w:lineRule="auto"/>
        <w:jc w:val="both"/>
      </w:pPr>
      <w:r>
        <w:t xml:space="preserve">[1] </w:t>
      </w:r>
      <w:proofErr w:type="spellStart"/>
      <w:r>
        <w:t>Návrh</w:t>
      </w:r>
      <w:proofErr w:type="spellEnd"/>
      <w:r>
        <w:t xml:space="preserve"> </w:t>
      </w:r>
      <w:proofErr w:type="spellStart"/>
      <w:r>
        <w:t>zákona</w:t>
      </w:r>
      <w:proofErr w:type="spellEnd"/>
      <w:r>
        <w:t xml:space="preserve"> o </w:t>
      </w:r>
      <w:proofErr w:type="spellStart"/>
      <w:r>
        <w:t>řízeních</w:t>
      </w:r>
      <w:proofErr w:type="spellEnd"/>
      <w:r>
        <w:t xml:space="preserve"> </w:t>
      </w:r>
      <w:proofErr w:type="spellStart"/>
      <w:r>
        <w:t>souvisejících</w:t>
      </w:r>
      <w:proofErr w:type="spellEnd"/>
      <w:r>
        <w:t xml:space="preserve"> s </w:t>
      </w:r>
      <w:proofErr w:type="spellStart"/>
      <w:r>
        <w:t>hlubinným</w:t>
      </w:r>
      <w:proofErr w:type="spellEnd"/>
      <w:r>
        <w:t xml:space="preserve"> </w:t>
      </w:r>
      <w:proofErr w:type="spellStart"/>
      <w:r>
        <w:t>úložištěm</w:t>
      </w:r>
      <w:proofErr w:type="spellEnd"/>
      <w:r>
        <w:t xml:space="preserve"> </w:t>
      </w:r>
      <w:proofErr w:type="spellStart"/>
      <w:r>
        <w:t>radioaktivního</w:t>
      </w:r>
      <w:proofErr w:type="spellEnd"/>
      <w:r>
        <w:t xml:space="preserve"> </w:t>
      </w:r>
      <w:proofErr w:type="spellStart"/>
      <w:r>
        <w:t>odpadu</w:t>
      </w:r>
      <w:proofErr w:type="spellEnd"/>
      <w:r>
        <w:t xml:space="preserve">, </w:t>
      </w:r>
      <w:proofErr w:type="spellStart"/>
      <w:r>
        <w:t>tisk</w:t>
      </w:r>
      <w:proofErr w:type="spellEnd"/>
      <w:r>
        <w:t xml:space="preserve"> 367 - </w:t>
      </w:r>
      <w:hyperlink r:id="rId9" w:history="1">
        <w:r>
          <w:rPr>
            <w:rStyle w:val="Hypertextovodkaz"/>
          </w:rPr>
          <w:t>https://www.psp.cz/sqw/text/tiskt.sqw?O=9&amp;CT=367&amp;CT1=0</w:t>
        </w:r>
      </w:hyperlink>
      <w:r>
        <w:t xml:space="preserve">v </w:t>
      </w:r>
    </w:p>
    <w:p w:rsidR="00F06819" w:rsidRDefault="00F06819" w:rsidP="001630C4">
      <w:pPr>
        <w:spacing w:after="80" w:line="240" w:lineRule="auto"/>
        <w:jc w:val="both"/>
        <w:rPr>
          <w:b/>
          <w:bCs/>
          <w:lang w:val="cs-CZ"/>
        </w:rPr>
      </w:pPr>
      <w:r w:rsidRPr="00932532">
        <w:rPr>
          <w:lang w:val="cs-CZ"/>
        </w:rPr>
        <w:t xml:space="preserve">[2] </w:t>
      </w:r>
      <w:r w:rsidRPr="00932532">
        <w:rPr>
          <w:rStyle w:val="hps"/>
          <w:lang w:val="cs-CZ"/>
        </w:rPr>
        <w:t>Atomový zákon č. 263/2016 Sb., par. 108 odst. (4): „</w:t>
      </w:r>
      <w:r w:rsidRPr="00932532">
        <w:rPr>
          <w:rStyle w:val="hps"/>
          <w:i/>
          <w:lang w:val="cs-CZ"/>
        </w:rPr>
        <w:t>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 117 odst. 1, a jejich občanů v těchto procesech, stanoví zvláštní zákon.“.</w:t>
      </w:r>
      <w:r w:rsidRPr="00932532">
        <w:rPr>
          <w:b/>
          <w:bCs/>
          <w:lang w:val="cs-CZ"/>
        </w:rPr>
        <w:t xml:space="preserve"> </w:t>
      </w:r>
    </w:p>
    <w:p w:rsidR="00CF2C8B" w:rsidRDefault="00CF2C8B" w:rsidP="00CF2C8B">
      <w:pPr>
        <w:spacing w:after="80" w:line="240" w:lineRule="auto"/>
        <w:jc w:val="both"/>
        <w:rPr>
          <w:rStyle w:val="hps"/>
          <w:lang w:val="cs-CZ"/>
        </w:rPr>
      </w:pPr>
      <w:r>
        <w:rPr>
          <w:rStyle w:val="hps"/>
          <w:lang w:val="cs-CZ"/>
        </w:rPr>
        <w:t>[3</w:t>
      </w:r>
      <w:r w:rsidRPr="00932532">
        <w:rPr>
          <w:rStyle w:val="hps"/>
          <w:lang w:val="cs-CZ"/>
        </w:rPr>
        <w:t xml:space="preserve">] </w:t>
      </w:r>
      <w:r>
        <w:rPr>
          <w:rStyle w:val="hps"/>
          <w:lang w:val="cs-CZ"/>
        </w:rPr>
        <w:t>Viz</w:t>
      </w:r>
      <w:r w:rsidR="008F0E2C">
        <w:rPr>
          <w:rStyle w:val="hps"/>
          <w:lang w:val="cs-CZ"/>
        </w:rPr>
        <w:t xml:space="preserve"> stránky</w:t>
      </w:r>
      <w:r>
        <w:rPr>
          <w:rStyle w:val="hps"/>
          <w:lang w:val="cs-CZ"/>
        </w:rPr>
        <w:t xml:space="preserve"> jednotlivých lokalit na </w:t>
      </w:r>
      <w:hyperlink r:id="rId10" w:history="1">
        <w:r w:rsidRPr="007754AC">
          <w:rPr>
            <w:rStyle w:val="Hypertextovodkaz"/>
            <w:lang w:val="cs-CZ"/>
          </w:rPr>
          <w:t>www.nechcemeuloziste.cz</w:t>
        </w:r>
      </w:hyperlink>
      <w:r>
        <w:rPr>
          <w:rStyle w:val="hps"/>
          <w:lang w:val="cs-CZ"/>
        </w:rPr>
        <w:t xml:space="preserve"> .</w:t>
      </w:r>
    </w:p>
    <w:p w:rsidR="00A83E3B" w:rsidRPr="00932532" w:rsidRDefault="00CF2C8B" w:rsidP="008F0E2C">
      <w:pPr>
        <w:spacing w:after="80" w:line="240" w:lineRule="auto"/>
        <w:rPr>
          <w:lang w:val="cs-CZ"/>
        </w:rPr>
      </w:pPr>
      <w:r>
        <w:rPr>
          <w:rStyle w:val="hps"/>
          <w:lang w:val="cs-CZ"/>
        </w:rPr>
        <w:t>[4</w:t>
      </w:r>
      <w:r w:rsidRPr="00932532">
        <w:rPr>
          <w:rStyle w:val="hps"/>
          <w:lang w:val="cs-CZ"/>
        </w:rPr>
        <w:t xml:space="preserve">] </w:t>
      </w:r>
      <w:r w:rsidR="008F0E2C">
        <w:rPr>
          <w:rStyle w:val="hps"/>
          <w:lang w:val="cs-CZ"/>
        </w:rPr>
        <w:t xml:space="preserve">Finská právní úprava je popsána v materiálu </w:t>
      </w:r>
      <w:r w:rsidRPr="00932532">
        <w:rPr>
          <w:rStyle w:val="hps"/>
          <w:lang w:val="cs-CZ"/>
        </w:rPr>
        <w:t xml:space="preserve">Právní analýza návrhu zákona o hlubinném úložišti, Doucha Šikola advokáti s.r.o., březen 2022 - </w:t>
      </w:r>
      <w:hyperlink r:id="rId11" w:history="1">
        <w:r w:rsidRPr="00932532">
          <w:rPr>
            <w:rStyle w:val="Hypertextovodkaz"/>
            <w:lang w:val="cs-CZ"/>
          </w:rPr>
          <w:t>http://www.nechcemeuloziste.cz/cs/dokumenty/odborne-studie/pravni-analyza-navrhu-zakona-o-hlubinnem-ulozisti.html</w:t>
        </w:r>
      </w:hyperlink>
      <w:r w:rsidRPr="00932532">
        <w:rPr>
          <w:rStyle w:val="hps"/>
          <w:lang w:val="cs-CZ"/>
        </w:rPr>
        <w:t xml:space="preserve"> </w:t>
      </w:r>
    </w:p>
    <w:sectPr w:rsidR="00A83E3B" w:rsidRPr="00932532">
      <w:headerReference w:type="default" r:id="rId12"/>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36" w:rsidRDefault="00BD2A36">
      <w:pPr>
        <w:spacing w:after="0" w:line="240" w:lineRule="auto"/>
      </w:pPr>
      <w:r>
        <w:separator/>
      </w:r>
    </w:p>
  </w:endnote>
  <w:endnote w:type="continuationSeparator" w:id="0">
    <w:p w:rsidR="00BD2A36" w:rsidRDefault="00BD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570BAC">
    <w:pPr>
      <w:pStyle w:val="Nadpis2"/>
      <w:spacing w:before="0" w:after="0"/>
      <w:rPr>
        <w:rFonts w:ascii="Calibri" w:eastAsia="Calibri" w:hAnsi="Calibri" w:cs="Calibri"/>
        <w:color w:val="538135"/>
        <w:sz w:val="24"/>
        <w:szCs w:val="24"/>
        <w:u w:color="538135"/>
      </w:rPr>
    </w:pPr>
  </w:p>
  <w:p w:rsidR="00570BAC" w:rsidRDefault="00F116FE" w:rsidP="001C413B">
    <w:pPr>
      <w:pStyle w:val="Nadpis2"/>
      <w:spacing w:before="0" w:after="0" w:line="240" w:lineRule="auto"/>
      <w:rPr>
        <w:rFonts w:ascii="Calibri" w:eastAsia="Calibri" w:hAnsi="Calibri" w:cs="Calibri"/>
        <w:color w:val="538135"/>
        <w:sz w:val="24"/>
        <w:szCs w:val="24"/>
        <w:u w:color="538135"/>
      </w:rPr>
    </w:pPr>
    <w:r>
      <w:rPr>
        <w:rFonts w:ascii="Calibri" w:eastAsia="Calibri" w:hAnsi="Calibri" w:cs="Calibri"/>
        <w:color w:val="538135"/>
        <w:sz w:val="24"/>
        <w:szCs w:val="24"/>
        <w:u w:color="538135"/>
      </w:rPr>
      <w:t xml:space="preserve">Mluvčí Platformy proti </w:t>
    </w:r>
    <w:proofErr w:type="spellStart"/>
    <w:r>
      <w:rPr>
        <w:rFonts w:ascii="Calibri" w:eastAsia="Calibri" w:hAnsi="Calibri" w:cs="Calibri"/>
        <w:color w:val="538135"/>
        <w:sz w:val="24"/>
        <w:szCs w:val="24"/>
        <w:u w:color="538135"/>
      </w:rPr>
      <w:t>hlubinn</w:t>
    </w:r>
    <w:proofErr w:type="spellEnd"/>
    <w:r>
      <w:rPr>
        <w:rFonts w:ascii="Calibri" w:eastAsia="Calibri" w:hAnsi="Calibri" w:cs="Calibri"/>
        <w:color w:val="538135"/>
        <w:sz w:val="24"/>
        <w:szCs w:val="24"/>
        <w:u w:color="538135"/>
        <w:lang w:val="fr-FR"/>
      </w:rPr>
      <w:t>é</w:t>
    </w:r>
    <w:r>
      <w:rPr>
        <w:rFonts w:ascii="Calibri" w:eastAsia="Calibri" w:hAnsi="Calibri" w:cs="Calibri"/>
        <w:color w:val="538135"/>
        <w:sz w:val="24"/>
        <w:szCs w:val="24"/>
        <w:u w:color="538135"/>
      </w:rPr>
      <w:t>mu úložišti</w:t>
    </w:r>
  </w:p>
  <w:p w:rsidR="006B4F13" w:rsidRPr="00AE6EDA" w:rsidRDefault="006B4F13" w:rsidP="006B4F13">
    <w:pPr>
      <w:spacing w:after="0" w:line="240" w:lineRule="auto"/>
      <w:rPr>
        <w:rFonts w:eastAsia="Times New Roman"/>
        <w:bCs/>
        <w:sz w:val="24"/>
        <w:szCs w:val="24"/>
        <w:lang w:val="cs-CZ"/>
      </w:rPr>
    </w:pPr>
    <w:r w:rsidRPr="00AE6EDA">
      <w:rPr>
        <w:rFonts w:eastAsia="Times New Roman"/>
        <w:b/>
        <w:bCs/>
        <w:sz w:val="24"/>
        <w:szCs w:val="24"/>
        <w:lang w:val="cs-CZ"/>
      </w:rPr>
      <w:t>Antonín Seknička</w:t>
    </w:r>
    <w:r w:rsidRPr="00AE6EDA">
      <w:rPr>
        <w:rFonts w:eastAsia="Times New Roman"/>
        <w:bCs/>
        <w:sz w:val="24"/>
        <w:szCs w:val="24"/>
        <w:lang w:val="cs-CZ"/>
      </w:rPr>
      <w:t>, místostarosta obce Cejle</w:t>
    </w:r>
  </w:p>
  <w:p w:rsidR="00570BAC" w:rsidRPr="00AE6EDA" w:rsidRDefault="006B4F13" w:rsidP="00AE6EDA">
    <w:pPr>
      <w:pStyle w:val="FormtovanvHTML"/>
      <w:rPr>
        <w:rFonts w:ascii="Calibri" w:hAnsi="Calibri" w:cs="Calibri"/>
        <w:sz w:val="24"/>
        <w:szCs w:val="24"/>
      </w:rPr>
    </w:pPr>
    <w:r w:rsidRPr="00AE6EDA">
      <w:rPr>
        <w:rFonts w:ascii="Calibri" w:hAnsi="Calibri" w:cs="Calibri"/>
        <w:bCs/>
        <w:sz w:val="24"/>
        <w:szCs w:val="24"/>
      </w:rPr>
      <w:t xml:space="preserve">tel.: </w:t>
    </w:r>
    <w:r w:rsidR="00AE6EDA" w:rsidRPr="00AE6EDA">
      <w:rPr>
        <w:rFonts w:ascii="Calibri" w:hAnsi="Calibri" w:cs="Calibri"/>
        <w:sz w:val="24"/>
        <w:szCs w:val="24"/>
      </w:rPr>
      <w:t>733 309 796</w:t>
    </w:r>
    <w:r w:rsidRPr="00AE6EDA">
      <w:rPr>
        <w:rFonts w:ascii="Calibri" w:hAnsi="Calibri" w:cs="Calibri"/>
        <w:bCs/>
        <w:sz w:val="24"/>
        <w:szCs w:val="24"/>
      </w:rPr>
      <w:t>, e-mail: mistostarosta@cejle.cz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36" w:rsidRDefault="00BD2A36">
      <w:pPr>
        <w:spacing w:after="0" w:line="240" w:lineRule="auto"/>
      </w:pPr>
      <w:r>
        <w:separator/>
      </w:r>
    </w:p>
  </w:footnote>
  <w:footnote w:type="continuationSeparator" w:id="0">
    <w:p w:rsidR="00BD2A36" w:rsidRDefault="00BD2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BAC" w:rsidRDefault="00F116FE">
    <w:pPr>
      <w:pStyle w:val="Zhlav"/>
      <w:tabs>
        <w:tab w:val="clear" w:pos="9072"/>
        <w:tab w:val="right" w:pos="9046"/>
      </w:tabs>
    </w:pPr>
    <w:r>
      <w:rPr>
        <w:noProof/>
      </w:rPr>
      <w:drawing>
        <wp:anchor distT="152400" distB="152400" distL="152400" distR="152400" simplePos="0" relativeHeight="251658240" behindDoc="1" locked="0" layoutInCell="1" allowOverlap="1">
          <wp:simplePos x="0" y="0"/>
          <wp:positionH relativeFrom="page">
            <wp:posOffset>895349</wp:posOffset>
          </wp:positionH>
          <wp:positionV relativeFrom="page">
            <wp:posOffset>447675</wp:posOffset>
          </wp:positionV>
          <wp:extent cx="2905125" cy="9525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2905125" cy="952500"/>
                  </a:xfrm>
                  <a:prstGeom prst="rect">
                    <a:avLst/>
                  </a:prstGeom>
                  <a:ln w="12700" cap="flat">
                    <a:noFill/>
                    <a:miter lim="400000"/>
                  </a:ln>
                  <a:effectLst/>
                </pic:spPr>
              </pic:pic>
            </a:graphicData>
          </a:graphic>
        </wp:anchor>
      </w:drawing>
    </w:r>
  </w:p>
  <w:p w:rsidR="00570BAC" w:rsidRDefault="00570BAC">
    <w:pPr>
      <w:pStyle w:val="Zhlav"/>
      <w:tabs>
        <w:tab w:val="clear" w:pos="9072"/>
        <w:tab w:val="right" w:pos="9046"/>
      </w:tabs>
      <w:jc w:val="center"/>
      <w:rPr>
        <w:b/>
        <w:bCs/>
        <w:sz w:val="16"/>
        <w:szCs w:val="16"/>
      </w:rPr>
    </w:pPr>
  </w:p>
  <w:p w:rsidR="00570BAC" w:rsidRDefault="00F116FE">
    <w:pPr>
      <w:pStyle w:val="Zhlav"/>
      <w:tabs>
        <w:tab w:val="clear" w:pos="9072"/>
        <w:tab w:val="right" w:pos="9046"/>
      </w:tabs>
      <w:jc w:val="right"/>
      <w:rPr>
        <w:color w:val="339933"/>
        <w:sz w:val="28"/>
        <w:szCs w:val="28"/>
        <w:u w:color="339933"/>
      </w:rPr>
    </w:pPr>
    <w:r>
      <w:rPr>
        <w:b/>
        <w:bCs/>
        <w:color w:val="339933"/>
        <w:sz w:val="28"/>
        <w:szCs w:val="28"/>
        <w:u w:color="339933"/>
      </w:rPr>
      <w:t>Obce a občan</w:t>
    </w:r>
    <w:r>
      <w:rPr>
        <w:b/>
        <w:bCs/>
        <w:color w:val="339933"/>
        <w:sz w:val="28"/>
        <w:szCs w:val="28"/>
        <w:u w:color="339933"/>
        <w:lang w:val="fr-FR"/>
      </w:rPr>
      <w:t xml:space="preserve">é </w:t>
    </w:r>
    <w:r>
      <w:rPr>
        <w:b/>
        <w:bCs/>
        <w:color w:val="339933"/>
        <w:sz w:val="28"/>
        <w:szCs w:val="28"/>
        <w:u w:color="339933"/>
      </w:rPr>
      <w:t>hájí svá práva</w:t>
    </w:r>
  </w:p>
  <w:p w:rsidR="00570BAC" w:rsidRDefault="00F116FE">
    <w:pPr>
      <w:pStyle w:val="Zhlav"/>
      <w:tabs>
        <w:tab w:val="clear" w:pos="4536"/>
        <w:tab w:val="clear" w:pos="9072"/>
        <w:tab w:val="left" w:pos="753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0A8D"/>
    <w:multiLevelType w:val="hybridMultilevel"/>
    <w:tmpl w:val="C85A9DE2"/>
    <w:styleLink w:val="ImportedStyle1"/>
    <w:lvl w:ilvl="0" w:tplc="4D2270B6">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5CC29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0AEF0">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843938">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B21E5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AADD5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B810E8">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16D6AE">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9EBDB2">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1395BAA"/>
    <w:multiLevelType w:val="hybridMultilevel"/>
    <w:tmpl w:val="C85A9DE2"/>
    <w:numStyleLink w:val="ImportedStyle1"/>
  </w:abstractNum>
  <w:abstractNum w:abstractNumId="2" w15:restartNumberingAfterBreak="0">
    <w:nsid w:val="5B726139"/>
    <w:multiLevelType w:val="hybridMultilevel"/>
    <w:tmpl w:val="11ECD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AC"/>
    <w:rsid w:val="000301F4"/>
    <w:rsid w:val="000F4021"/>
    <w:rsid w:val="001343FE"/>
    <w:rsid w:val="00136CDA"/>
    <w:rsid w:val="001630C4"/>
    <w:rsid w:val="00172BA7"/>
    <w:rsid w:val="001C413B"/>
    <w:rsid w:val="0021675B"/>
    <w:rsid w:val="0038291B"/>
    <w:rsid w:val="003B213A"/>
    <w:rsid w:val="00401C46"/>
    <w:rsid w:val="00410590"/>
    <w:rsid w:val="00433CF4"/>
    <w:rsid w:val="00446313"/>
    <w:rsid w:val="00457C69"/>
    <w:rsid w:val="00493088"/>
    <w:rsid w:val="004E0874"/>
    <w:rsid w:val="00505448"/>
    <w:rsid w:val="005340E3"/>
    <w:rsid w:val="005526EA"/>
    <w:rsid w:val="005531B1"/>
    <w:rsid w:val="00570BAC"/>
    <w:rsid w:val="006743F3"/>
    <w:rsid w:val="00693166"/>
    <w:rsid w:val="006B4F13"/>
    <w:rsid w:val="00700D75"/>
    <w:rsid w:val="00736B60"/>
    <w:rsid w:val="00756149"/>
    <w:rsid w:val="007B5F4E"/>
    <w:rsid w:val="008214B9"/>
    <w:rsid w:val="00835665"/>
    <w:rsid w:val="008A507E"/>
    <w:rsid w:val="008C133F"/>
    <w:rsid w:val="008E591E"/>
    <w:rsid w:val="008F0E2C"/>
    <w:rsid w:val="00932532"/>
    <w:rsid w:val="009435C4"/>
    <w:rsid w:val="009B3F9D"/>
    <w:rsid w:val="009E4F51"/>
    <w:rsid w:val="00A83E3B"/>
    <w:rsid w:val="00AE6EDA"/>
    <w:rsid w:val="00B1135C"/>
    <w:rsid w:val="00B16DCE"/>
    <w:rsid w:val="00B24336"/>
    <w:rsid w:val="00BB5814"/>
    <w:rsid w:val="00BC5DF4"/>
    <w:rsid w:val="00BD2A36"/>
    <w:rsid w:val="00C57399"/>
    <w:rsid w:val="00CD2947"/>
    <w:rsid w:val="00CF2C8B"/>
    <w:rsid w:val="00D246B7"/>
    <w:rsid w:val="00D70160"/>
    <w:rsid w:val="00E17EF1"/>
    <w:rsid w:val="00E22136"/>
    <w:rsid w:val="00E738BB"/>
    <w:rsid w:val="00EA2CD1"/>
    <w:rsid w:val="00EB2882"/>
    <w:rsid w:val="00EB2EF9"/>
    <w:rsid w:val="00EE634F"/>
    <w:rsid w:val="00F06819"/>
    <w:rsid w:val="00F116FE"/>
    <w:rsid w:val="00F31435"/>
    <w:rsid w:val="00FA0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638D1-AA5A-409C-9E56-C2FAFE20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eastAsia="Calibri" w:hAnsi="Calibri" w:cs="Calibri"/>
      <w:color w:val="000000"/>
      <w:sz w:val="22"/>
      <w:szCs w:val="22"/>
      <w:u w:color="000000"/>
      <w:lang w:val="de-DE"/>
    </w:rPr>
  </w:style>
  <w:style w:type="paragraph" w:styleId="Nadpis1">
    <w:name w:val="heading 1"/>
    <w:basedOn w:val="Normln"/>
    <w:next w:val="Normln"/>
    <w:link w:val="Nadpis1Char"/>
    <w:uiPriority w:val="9"/>
    <w:qFormat/>
    <w:rsid w:val="00172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pPr>
      <w:spacing w:before="100" w:after="100" w:line="259" w:lineRule="auto"/>
      <w:outlineLvl w:val="1"/>
    </w:pPr>
    <w:rPr>
      <w:rFonts w:eastAsia="Times New Roman"/>
      <w:b/>
      <w:bCs/>
      <w:color w:val="000000"/>
      <w:sz w:val="36"/>
      <w:szCs w:val="36"/>
      <w:u w:color="000000"/>
    </w:rPr>
  </w:style>
  <w:style w:type="paragraph" w:styleId="Nadpis3">
    <w:name w:val="heading 3"/>
    <w:basedOn w:val="Normln"/>
    <w:next w:val="Normln"/>
    <w:link w:val="Nadpis3Char"/>
    <w:uiPriority w:val="9"/>
    <w:semiHidden/>
    <w:unhideWhenUsed/>
    <w:qFormat/>
    <w:rsid w:val="00EB2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spacing w:after="160" w:line="259" w:lineRule="auto"/>
    </w:pPr>
    <w:rPr>
      <w:rFonts w:ascii="Calibri" w:eastAsia="Calibri" w:hAnsi="Calibri" w:cs="Calibri"/>
      <w:color w:val="000000"/>
      <w:sz w:val="22"/>
      <w:szCs w:val="22"/>
      <w:u w:color="000000"/>
    </w:rPr>
  </w:style>
  <w:style w:type="paragraph" w:styleId="Odstavecseseznamem">
    <w:name w:val="List Paragraph"/>
    <w:pPr>
      <w:spacing w:after="160" w:line="259" w:lineRule="auto"/>
      <w:ind w:left="720"/>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563C1"/>
      <w:u w:val="single" w:color="0563C1"/>
    </w:rPr>
  </w:style>
  <w:style w:type="paragraph" w:styleId="Zpat">
    <w:name w:val="footer"/>
    <w:basedOn w:val="Normln"/>
    <w:link w:val="ZpatChar"/>
    <w:uiPriority w:val="99"/>
    <w:unhideWhenUsed/>
    <w:rsid w:val="001C413B"/>
    <w:pPr>
      <w:tabs>
        <w:tab w:val="center" w:pos="4536"/>
        <w:tab w:val="right" w:pos="9072"/>
      </w:tabs>
      <w:spacing w:after="0" w:line="240" w:lineRule="auto"/>
    </w:pPr>
  </w:style>
  <w:style w:type="character" w:customStyle="1" w:styleId="ZpatChar">
    <w:name w:val="Zápatí Char"/>
    <w:basedOn w:val="Standardnpsmoodstavce"/>
    <w:link w:val="Zpat"/>
    <w:uiPriority w:val="99"/>
    <w:rsid w:val="001C413B"/>
    <w:rPr>
      <w:rFonts w:ascii="Calibri" w:eastAsia="Calibri" w:hAnsi="Calibri" w:cs="Calibri"/>
      <w:color w:val="000000"/>
      <w:sz w:val="22"/>
      <w:szCs w:val="22"/>
      <w:u w:color="000000"/>
      <w:lang w:val="de-DE"/>
    </w:rPr>
  </w:style>
  <w:style w:type="character" w:styleId="Siln">
    <w:name w:val="Strong"/>
    <w:basedOn w:val="Standardnpsmoodstavce"/>
    <w:uiPriority w:val="22"/>
    <w:qFormat/>
    <w:rsid w:val="005526EA"/>
    <w:rPr>
      <w:b/>
      <w:bCs/>
    </w:rPr>
  </w:style>
  <w:style w:type="character" w:styleId="PromnnHTML">
    <w:name w:val="HTML Variable"/>
    <w:basedOn w:val="Standardnpsmoodstavce"/>
    <w:uiPriority w:val="99"/>
    <w:semiHidden/>
    <w:unhideWhenUsed/>
    <w:rsid w:val="00172BA7"/>
    <w:rPr>
      <w:i/>
      <w:iCs/>
    </w:rPr>
  </w:style>
  <w:style w:type="character" w:customStyle="1" w:styleId="Nadpis1Char">
    <w:name w:val="Nadpis 1 Char"/>
    <w:basedOn w:val="Standardnpsmoodstavce"/>
    <w:link w:val="Nadpis1"/>
    <w:uiPriority w:val="9"/>
    <w:rsid w:val="00172BA7"/>
    <w:rPr>
      <w:rFonts w:asciiTheme="majorHAnsi" w:eastAsiaTheme="majorEastAsia" w:hAnsiTheme="majorHAnsi" w:cstheme="majorBidi"/>
      <w:color w:val="2E74B5" w:themeColor="accent1" w:themeShade="BF"/>
      <w:sz w:val="32"/>
      <w:szCs w:val="32"/>
      <w:u w:color="000000"/>
      <w:lang w:val="de-DE"/>
    </w:rPr>
  </w:style>
  <w:style w:type="paragraph" w:styleId="Textbubliny">
    <w:name w:val="Balloon Text"/>
    <w:basedOn w:val="Normln"/>
    <w:link w:val="TextbublinyChar"/>
    <w:uiPriority w:val="99"/>
    <w:semiHidden/>
    <w:unhideWhenUsed/>
    <w:rsid w:val="008356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665"/>
    <w:rPr>
      <w:rFonts w:ascii="Segoe UI" w:eastAsia="Calibri" w:hAnsi="Segoe UI" w:cs="Segoe UI"/>
      <w:color w:val="000000"/>
      <w:sz w:val="18"/>
      <w:szCs w:val="18"/>
      <w:u w:color="000000"/>
      <w:lang w:val="de-DE"/>
    </w:rPr>
  </w:style>
  <w:style w:type="paragraph" w:styleId="FormtovanvHTML">
    <w:name w:val="HTML Preformatted"/>
    <w:basedOn w:val="Normln"/>
    <w:link w:val="FormtovanvHTMLChar"/>
    <w:uiPriority w:val="99"/>
    <w:unhideWhenUsed/>
    <w:rsid w:val="00AE6ED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bdr w:val="none" w:sz="0" w:space="0" w:color="auto"/>
      <w:lang w:val="cs-CZ"/>
    </w:rPr>
  </w:style>
  <w:style w:type="character" w:customStyle="1" w:styleId="FormtovanvHTMLChar">
    <w:name w:val="Formátovaný v HTML Char"/>
    <w:basedOn w:val="Standardnpsmoodstavce"/>
    <w:link w:val="FormtovanvHTML"/>
    <w:uiPriority w:val="99"/>
    <w:rsid w:val="00AE6EDA"/>
    <w:rPr>
      <w:rFonts w:ascii="Courier New" w:eastAsia="Times New Roman" w:hAnsi="Courier New" w:cs="Courier New"/>
      <w:bdr w:val="none" w:sz="0" w:space="0" w:color="auto"/>
    </w:rPr>
  </w:style>
  <w:style w:type="paragraph" w:styleId="Normlnweb">
    <w:name w:val="Normal (Web)"/>
    <w:uiPriority w:val="99"/>
    <w:rsid w:val="00736B60"/>
    <w:pPr>
      <w:spacing w:before="100" w:after="100"/>
    </w:pPr>
    <w:rPr>
      <w:rFonts w:cs="Arial Unicode MS"/>
      <w:color w:val="000000"/>
      <w:sz w:val="24"/>
      <w:szCs w:val="24"/>
      <w:u w:color="000000"/>
    </w:rPr>
  </w:style>
  <w:style w:type="character" w:customStyle="1" w:styleId="hps">
    <w:name w:val="hps"/>
    <w:rsid w:val="00736B60"/>
  </w:style>
  <w:style w:type="character" w:customStyle="1" w:styleId="Nadpis3Char">
    <w:name w:val="Nadpis 3 Char"/>
    <w:basedOn w:val="Standardnpsmoodstavce"/>
    <w:link w:val="Nadpis3"/>
    <w:uiPriority w:val="9"/>
    <w:semiHidden/>
    <w:rsid w:val="00EB2EF9"/>
    <w:rPr>
      <w:rFonts w:asciiTheme="majorHAnsi" w:eastAsiaTheme="majorEastAsia" w:hAnsiTheme="majorHAnsi" w:cstheme="majorBidi"/>
      <w:color w:val="1F4D78" w:themeColor="accent1" w:themeShade="7F"/>
      <w:sz w:val="24"/>
      <w:szCs w:val="24"/>
      <w:u w:color="000000"/>
      <w:lang w:val="de-DE"/>
    </w:rPr>
  </w:style>
  <w:style w:type="character" w:styleId="Zdraznn">
    <w:name w:val="Emphasis"/>
    <w:basedOn w:val="Standardnpsmoodstavce"/>
    <w:uiPriority w:val="20"/>
    <w:qFormat/>
    <w:rsid w:val="00FA0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7738">
      <w:bodyDiv w:val="1"/>
      <w:marLeft w:val="0"/>
      <w:marRight w:val="0"/>
      <w:marTop w:val="0"/>
      <w:marBottom w:val="0"/>
      <w:divBdr>
        <w:top w:val="none" w:sz="0" w:space="0" w:color="auto"/>
        <w:left w:val="none" w:sz="0" w:space="0" w:color="auto"/>
        <w:bottom w:val="none" w:sz="0" w:space="0" w:color="auto"/>
        <w:right w:val="none" w:sz="0" w:space="0" w:color="auto"/>
      </w:divBdr>
    </w:div>
    <w:div w:id="419909444">
      <w:bodyDiv w:val="1"/>
      <w:marLeft w:val="0"/>
      <w:marRight w:val="0"/>
      <w:marTop w:val="0"/>
      <w:marBottom w:val="0"/>
      <w:divBdr>
        <w:top w:val="none" w:sz="0" w:space="0" w:color="auto"/>
        <w:left w:val="none" w:sz="0" w:space="0" w:color="auto"/>
        <w:bottom w:val="none" w:sz="0" w:space="0" w:color="auto"/>
        <w:right w:val="none" w:sz="0" w:space="0" w:color="auto"/>
      </w:divBdr>
    </w:div>
    <w:div w:id="1006328718">
      <w:bodyDiv w:val="1"/>
      <w:marLeft w:val="0"/>
      <w:marRight w:val="0"/>
      <w:marTop w:val="0"/>
      <w:marBottom w:val="0"/>
      <w:divBdr>
        <w:top w:val="none" w:sz="0" w:space="0" w:color="auto"/>
        <w:left w:val="none" w:sz="0" w:space="0" w:color="auto"/>
        <w:bottom w:val="none" w:sz="0" w:space="0" w:color="auto"/>
        <w:right w:val="none" w:sz="0" w:space="0" w:color="auto"/>
      </w:divBdr>
    </w:div>
    <w:div w:id="1017585735">
      <w:bodyDiv w:val="1"/>
      <w:marLeft w:val="0"/>
      <w:marRight w:val="0"/>
      <w:marTop w:val="0"/>
      <w:marBottom w:val="0"/>
      <w:divBdr>
        <w:top w:val="none" w:sz="0" w:space="0" w:color="auto"/>
        <w:left w:val="none" w:sz="0" w:space="0" w:color="auto"/>
        <w:bottom w:val="none" w:sz="0" w:space="0" w:color="auto"/>
        <w:right w:val="none" w:sz="0" w:space="0" w:color="auto"/>
      </w:divBdr>
      <w:divsChild>
        <w:div w:id="2013683850">
          <w:marLeft w:val="0"/>
          <w:marRight w:val="0"/>
          <w:marTop w:val="0"/>
          <w:marBottom w:val="0"/>
          <w:divBdr>
            <w:top w:val="none" w:sz="0" w:space="0" w:color="auto"/>
            <w:left w:val="none" w:sz="0" w:space="0" w:color="auto"/>
            <w:bottom w:val="none" w:sz="0" w:space="0" w:color="auto"/>
            <w:right w:val="none" w:sz="0" w:space="0" w:color="auto"/>
          </w:divBdr>
          <w:divsChild>
            <w:div w:id="1496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9245">
      <w:bodyDiv w:val="1"/>
      <w:marLeft w:val="0"/>
      <w:marRight w:val="0"/>
      <w:marTop w:val="0"/>
      <w:marBottom w:val="0"/>
      <w:divBdr>
        <w:top w:val="none" w:sz="0" w:space="0" w:color="auto"/>
        <w:left w:val="none" w:sz="0" w:space="0" w:color="auto"/>
        <w:bottom w:val="none" w:sz="0" w:space="0" w:color="auto"/>
        <w:right w:val="none" w:sz="0" w:space="0" w:color="auto"/>
      </w:divBdr>
    </w:div>
    <w:div w:id="1715544835">
      <w:bodyDiv w:val="1"/>
      <w:marLeft w:val="0"/>
      <w:marRight w:val="0"/>
      <w:marTop w:val="0"/>
      <w:marBottom w:val="0"/>
      <w:divBdr>
        <w:top w:val="none" w:sz="0" w:space="0" w:color="auto"/>
        <w:left w:val="none" w:sz="0" w:space="0" w:color="auto"/>
        <w:bottom w:val="none" w:sz="0" w:space="0" w:color="auto"/>
        <w:right w:val="none" w:sz="0" w:space="0" w:color="auto"/>
      </w:divBdr>
    </w:div>
    <w:div w:id="1872918169">
      <w:bodyDiv w:val="1"/>
      <w:marLeft w:val="0"/>
      <w:marRight w:val="0"/>
      <w:marTop w:val="0"/>
      <w:marBottom w:val="0"/>
      <w:divBdr>
        <w:top w:val="none" w:sz="0" w:space="0" w:color="auto"/>
        <w:left w:val="none" w:sz="0" w:space="0" w:color="auto"/>
        <w:bottom w:val="none" w:sz="0" w:space="0" w:color="auto"/>
        <w:right w:val="none" w:sz="0" w:space="0" w:color="auto"/>
      </w:divBdr>
    </w:div>
    <w:div w:id="2033610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protiulozisti.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chcemeuloziste.cz/cs/dokumenty/odborne-studie/pravni-analyza-navrhu-zakona-o-hlubinnem-ulozist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chcemeuloziste.cz" TargetMode="External"/><Relationship Id="rId4" Type="http://schemas.openxmlformats.org/officeDocument/2006/relationships/settings" Target="settings.xml"/><Relationship Id="rId9" Type="http://schemas.openxmlformats.org/officeDocument/2006/relationships/hyperlink" Target="https://www.psp.cz/sqw/text/tiskt.sqw?O=9&amp;CT=367&amp;CT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7B9A-8169-4425-94E4-DE52DF21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3534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2023-01-10T08:35:00Z</cp:lastPrinted>
  <dcterms:created xsi:type="dcterms:W3CDTF">2023-05-03T11:47:00Z</dcterms:created>
  <dcterms:modified xsi:type="dcterms:W3CDTF">2023-05-03T11:47:00Z</dcterms:modified>
</cp:coreProperties>
</file>