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8DB88" w14:textId="77777777" w:rsidR="008B560E" w:rsidRDefault="008B560E" w:rsidP="007F78A7">
      <w:pPr>
        <w:jc w:val="center"/>
        <w:rPr>
          <w:b/>
          <w:sz w:val="28"/>
          <w:szCs w:val="28"/>
        </w:rPr>
      </w:pPr>
    </w:p>
    <w:p w14:paraId="51449F40" w14:textId="509E4A31" w:rsidR="00747153" w:rsidRDefault="00FB4F46" w:rsidP="00747153">
      <w:pPr>
        <w:spacing w:after="120"/>
        <w:jc w:val="center"/>
        <w:rPr>
          <w:b/>
          <w:sz w:val="24"/>
          <w:szCs w:val="24"/>
        </w:rPr>
      </w:pPr>
      <w:bookmarkStart w:id="0" w:name="_GoBack"/>
      <w:r w:rsidRPr="00D51934">
        <w:rPr>
          <w:b/>
          <w:sz w:val="24"/>
          <w:szCs w:val="24"/>
        </w:rPr>
        <w:t xml:space="preserve">Tisková zpráva </w:t>
      </w:r>
      <w:r w:rsidR="003F0F91" w:rsidRPr="00D51934">
        <w:rPr>
          <w:b/>
          <w:sz w:val="24"/>
          <w:szCs w:val="24"/>
        </w:rPr>
        <w:t>Platformy proti hlubinnému úložišti</w:t>
      </w:r>
    </w:p>
    <w:p w14:paraId="39FC54A1" w14:textId="7C3C014E" w:rsidR="00C6155A" w:rsidRPr="00D51934" w:rsidRDefault="007D7B6E" w:rsidP="00D51934">
      <w:pPr>
        <w:jc w:val="center"/>
        <w:rPr>
          <w:b/>
          <w:sz w:val="24"/>
          <w:szCs w:val="24"/>
        </w:rPr>
      </w:pPr>
      <w:r w:rsidRPr="00D51934">
        <w:rPr>
          <w:b/>
          <w:sz w:val="24"/>
          <w:szCs w:val="24"/>
        </w:rPr>
        <w:t>z</w:t>
      </w:r>
      <w:r w:rsidR="00F9763F">
        <w:rPr>
          <w:b/>
          <w:sz w:val="24"/>
          <w:szCs w:val="24"/>
        </w:rPr>
        <w:t> 2. února</w:t>
      </w:r>
      <w:r w:rsidR="0032525E">
        <w:rPr>
          <w:b/>
          <w:sz w:val="24"/>
          <w:szCs w:val="24"/>
        </w:rPr>
        <w:t xml:space="preserve"> 2018</w:t>
      </w:r>
    </w:p>
    <w:p w14:paraId="2E727591" w14:textId="2EB1C264" w:rsidR="00DE47C9" w:rsidRDefault="002E6267" w:rsidP="008B560E">
      <w:pPr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Úspěch obcí: </w:t>
      </w:r>
      <w:r w:rsidR="00DE47C9">
        <w:rPr>
          <w:b/>
          <w:sz w:val="28"/>
          <w:szCs w:val="28"/>
        </w:rPr>
        <w:t>Správa úložišť stáhla svoje</w:t>
      </w:r>
      <w:r w:rsidR="00F9763F">
        <w:rPr>
          <w:b/>
          <w:sz w:val="28"/>
          <w:szCs w:val="28"/>
        </w:rPr>
        <w:t xml:space="preserve"> žádost</w:t>
      </w:r>
      <w:r w:rsidR="00DE47C9">
        <w:rPr>
          <w:b/>
          <w:sz w:val="28"/>
          <w:szCs w:val="28"/>
        </w:rPr>
        <w:t>i</w:t>
      </w:r>
      <w:r w:rsidR="00F9763F">
        <w:rPr>
          <w:b/>
          <w:sz w:val="28"/>
          <w:szCs w:val="28"/>
        </w:rPr>
        <w:t xml:space="preserve"> </w:t>
      </w:r>
    </w:p>
    <w:p w14:paraId="24E6329B" w14:textId="7815076D" w:rsidR="00D51934" w:rsidRPr="00D51934" w:rsidRDefault="00F9763F" w:rsidP="00DE47C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prodloužení </w:t>
      </w:r>
      <w:r w:rsidR="00DE47C9">
        <w:rPr>
          <w:b/>
          <w:sz w:val="28"/>
          <w:szCs w:val="28"/>
        </w:rPr>
        <w:t xml:space="preserve">doby platnosti </w:t>
      </w:r>
      <w:r>
        <w:rPr>
          <w:b/>
          <w:sz w:val="28"/>
          <w:szCs w:val="28"/>
        </w:rPr>
        <w:t>průzkumných území</w:t>
      </w:r>
    </w:p>
    <w:p w14:paraId="480E53F1" w14:textId="77777777" w:rsidR="00F55CD6" w:rsidRPr="00FB4F46" w:rsidRDefault="00F55CD6" w:rsidP="00FB4F46">
      <w:pPr>
        <w:spacing w:after="0"/>
        <w:jc w:val="center"/>
        <w:rPr>
          <w:b/>
          <w:sz w:val="32"/>
          <w:szCs w:val="32"/>
        </w:rPr>
      </w:pPr>
    </w:p>
    <w:p w14:paraId="57DF7236" w14:textId="539A11DF" w:rsidR="004A442B" w:rsidRPr="0027649D" w:rsidRDefault="00DE47C9" w:rsidP="0039187B">
      <w:pPr>
        <w:spacing w:after="120" w:line="276" w:lineRule="auto"/>
        <w:jc w:val="both"/>
        <w:rPr>
          <w:b/>
        </w:rPr>
      </w:pPr>
      <w:r>
        <w:rPr>
          <w:b/>
        </w:rPr>
        <w:t>Obce a spolky, které usilují o přehodnocení postupu státu při vyhledávání místa pro hlubinné úložiště vyhořelého jaderného paliva</w:t>
      </w:r>
      <w:r w:rsidR="0027649D">
        <w:rPr>
          <w:b/>
        </w:rPr>
        <w:t>,</w:t>
      </w:r>
      <w:r>
        <w:rPr>
          <w:b/>
        </w:rPr>
        <w:t xml:space="preserve"> dosáhly dílčího úspěchu. </w:t>
      </w:r>
      <w:r w:rsidR="00F9763F">
        <w:rPr>
          <w:b/>
        </w:rPr>
        <w:t xml:space="preserve">Správa úložišť radioaktivních odpadů (SÚRAO) </w:t>
      </w:r>
      <w:r>
        <w:rPr>
          <w:b/>
        </w:rPr>
        <w:t xml:space="preserve">stáhla své žádosti, </w:t>
      </w:r>
      <w:r w:rsidR="0027649D">
        <w:rPr>
          <w:b/>
        </w:rPr>
        <w:t xml:space="preserve">v nichž </w:t>
      </w:r>
      <w:r>
        <w:rPr>
          <w:b/>
        </w:rPr>
        <w:t>usilovala o prodloužení doby platnosti průzkumných území pro geologické práce</w:t>
      </w:r>
      <w:r w:rsidR="0027649D">
        <w:rPr>
          <w:b/>
        </w:rPr>
        <w:t xml:space="preserve"> na sedmi lokalitách</w:t>
      </w:r>
      <w:r w:rsidR="00FB603F">
        <w:rPr>
          <w:b/>
        </w:rPr>
        <w:t>. Jejich platnost</w:t>
      </w:r>
      <w:r w:rsidR="0027649D">
        <w:rPr>
          <w:b/>
        </w:rPr>
        <w:t xml:space="preserve"> vypršela s koncem roku 2016</w:t>
      </w:r>
      <w:r>
        <w:rPr>
          <w:b/>
        </w:rPr>
        <w:t xml:space="preserve">.  </w:t>
      </w:r>
      <w:r w:rsidR="0027649D">
        <w:rPr>
          <w:b/>
        </w:rPr>
        <w:t>Městský soud v Praze by pak již v následujících měsících mohl rozhodnout o žalobě</w:t>
      </w:r>
      <w:r w:rsidR="0027649D" w:rsidRPr="0027649D">
        <w:rPr>
          <w:b/>
        </w:rPr>
        <w:t xml:space="preserve"> 18 obcí a 6 spolků, zda vůbec byla průzkumná území stanovena </w:t>
      </w:r>
      <w:r w:rsidR="0027649D">
        <w:rPr>
          <w:b/>
        </w:rPr>
        <w:t xml:space="preserve">a geologická data pro výběr lokalit získána </w:t>
      </w:r>
      <w:r w:rsidR="0027649D" w:rsidRPr="0027649D">
        <w:rPr>
          <w:b/>
        </w:rPr>
        <w:t>v souladu se zákonem.</w:t>
      </w:r>
      <w:r w:rsidR="0027649D">
        <w:t xml:space="preserve"> </w:t>
      </w:r>
    </w:p>
    <w:p w14:paraId="32F4BC78" w14:textId="03E51646" w:rsidR="006361F1" w:rsidRDefault="002E6267" w:rsidP="0039187B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Stažení žádostí</w:t>
      </w:r>
      <w:r w:rsidR="006361F1">
        <w:rPr>
          <w:rFonts w:cstheme="minorHAnsi"/>
        </w:rPr>
        <w:t xml:space="preserve"> je logickým vyústěním absurdní situace z</w:t>
      </w:r>
      <w:r w:rsidR="004A442B">
        <w:rPr>
          <w:rFonts w:cstheme="minorHAnsi"/>
        </w:rPr>
        <w:t>e samého</w:t>
      </w:r>
      <w:r w:rsidR="006361F1">
        <w:rPr>
          <w:rFonts w:cstheme="minorHAnsi"/>
        </w:rPr>
        <w:t xml:space="preserve"> konce loňského </w:t>
      </w:r>
      <w:r>
        <w:rPr>
          <w:rFonts w:cstheme="minorHAnsi"/>
        </w:rPr>
        <w:t xml:space="preserve">roku, kdy SÚRAO </w:t>
      </w:r>
      <w:r w:rsidR="00FB603F">
        <w:rPr>
          <w:rFonts w:cstheme="minorHAnsi"/>
        </w:rPr>
        <w:t xml:space="preserve">zpětně </w:t>
      </w:r>
      <w:r>
        <w:rPr>
          <w:rFonts w:cstheme="minorHAnsi"/>
        </w:rPr>
        <w:t>obdrželo</w:t>
      </w:r>
      <w:r w:rsidR="00FB603F">
        <w:rPr>
          <w:rFonts w:cstheme="minorHAnsi"/>
        </w:rPr>
        <w:t xml:space="preserve"> </w:t>
      </w:r>
      <w:r w:rsidR="00FB603F" w:rsidRPr="00FB603F">
        <w:rPr>
          <w:rFonts w:cstheme="minorHAnsi"/>
        </w:rPr>
        <w:t xml:space="preserve">ve čtyřech lokalitách </w:t>
      </w:r>
      <w:r w:rsidR="006361F1">
        <w:rPr>
          <w:rFonts w:cstheme="minorHAnsi"/>
        </w:rPr>
        <w:t xml:space="preserve">povolení </w:t>
      </w:r>
      <w:r w:rsidR="004A442B">
        <w:rPr>
          <w:rFonts w:cstheme="minorHAnsi"/>
        </w:rPr>
        <w:t xml:space="preserve">k provádění </w:t>
      </w:r>
      <w:r w:rsidR="00FB603F">
        <w:rPr>
          <w:rFonts w:cstheme="minorHAnsi"/>
        </w:rPr>
        <w:t xml:space="preserve">geologických </w:t>
      </w:r>
      <w:r w:rsidR="004A442B">
        <w:rPr>
          <w:rFonts w:cstheme="minorHAnsi"/>
        </w:rPr>
        <w:t>průzku</w:t>
      </w:r>
      <w:r>
        <w:rPr>
          <w:rFonts w:cstheme="minorHAnsi"/>
        </w:rPr>
        <w:t>mných prací v průběhu roku 2017.</w:t>
      </w:r>
      <w:r w:rsidR="004A442B">
        <w:rPr>
          <w:rFonts w:cstheme="minorHAnsi"/>
        </w:rPr>
        <w:t xml:space="preserve"> A to poté, co prakticky po ce</w:t>
      </w:r>
      <w:r>
        <w:rPr>
          <w:rFonts w:cstheme="minorHAnsi"/>
        </w:rPr>
        <w:t>lý rok prohlašovalo</w:t>
      </w:r>
      <w:r w:rsidR="006C31A0">
        <w:rPr>
          <w:rFonts w:cstheme="minorHAnsi"/>
        </w:rPr>
        <w:t xml:space="preserve">, že tyto práce neprovádí </w:t>
      </w:r>
      <w:r w:rsidR="006C31A0" w:rsidRPr="002625A5">
        <w:rPr>
          <w:rFonts w:cs="Arial"/>
        </w:rPr>
        <w:t>[</w:t>
      </w:r>
      <w:r w:rsidR="006C31A0">
        <w:rPr>
          <w:rFonts w:cs="Arial"/>
        </w:rPr>
        <w:t>1</w:t>
      </w:r>
      <w:r w:rsidR="006C31A0" w:rsidRPr="002625A5">
        <w:rPr>
          <w:rFonts w:cs="Arial"/>
        </w:rPr>
        <w:t>]</w:t>
      </w:r>
      <w:r w:rsidR="006C31A0">
        <w:rPr>
          <w:rFonts w:cstheme="minorHAnsi"/>
        </w:rPr>
        <w:t xml:space="preserve">.  </w:t>
      </w:r>
      <w:r>
        <w:rPr>
          <w:rFonts w:cstheme="minorHAnsi"/>
        </w:rPr>
        <w:t xml:space="preserve">Platforma proti hlubinnému úložišti namítala, </w:t>
      </w:r>
      <w:r w:rsidR="006C31A0">
        <w:rPr>
          <w:rFonts w:cstheme="minorHAnsi"/>
        </w:rPr>
        <w:t xml:space="preserve">že jediným důvodem zpětného povolení bylo umožnit vyplácení </w:t>
      </w:r>
      <w:r>
        <w:rPr>
          <w:rFonts w:cstheme="minorHAnsi"/>
        </w:rPr>
        <w:t xml:space="preserve">motivačních </w:t>
      </w:r>
      <w:r w:rsidR="006C31A0">
        <w:rPr>
          <w:rFonts w:cstheme="minorHAnsi"/>
        </w:rPr>
        <w:t>příspěvků dotčeným obcím z jaderného účtu</w:t>
      </w:r>
      <w:r w:rsidR="00B85C1C">
        <w:rPr>
          <w:rFonts w:cstheme="minorHAnsi"/>
        </w:rPr>
        <w:t xml:space="preserve"> </w:t>
      </w:r>
      <w:r w:rsidR="00B85C1C" w:rsidRPr="002625A5">
        <w:rPr>
          <w:rFonts w:cs="Arial"/>
        </w:rPr>
        <w:t>[</w:t>
      </w:r>
      <w:r w:rsidR="00B85C1C">
        <w:rPr>
          <w:rFonts w:cs="Arial"/>
        </w:rPr>
        <w:t>2</w:t>
      </w:r>
      <w:r w:rsidR="00B85C1C" w:rsidRPr="002625A5">
        <w:rPr>
          <w:rFonts w:cs="Arial"/>
        </w:rPr>
        <w:t>]</w:t>
      </w:r>
      <w:r>
        <w:rPr>
          <w:rFonts w:cstheme="minorHAnsi"/>
        </w:rPr>
        <w:t xml:space="preserve"> </w:t>
      </w:r>
      <w:r w:rsidR="006C31A0">
        <w:rPr>
          <w:rFonts w:cstheme="minorHAnsi"/>
        </w:rPr>
        <w:t xml:space="preserve">a získání </w:t>
      </w:r>
      <w:r w:rsidR="00FB603F">
        <w:rPr>
          <w:rFonts w:cstheme="minorHAnsi"/>
        </w:rPr>
        <w:t xml:space="preserve">tak </w:t>
      </w:r>
      <w:r w:rsidR="006C31A0">
        <w:rPr>
          <w:rFonts w:cstheme="minorHAnsi"/>
        </w:rPr>
        <w:t>jejich souhlasu s </w:t>
      </w:r>
      <w:r>
        <w:rPr>
          <w:rFonts w:cstheme="minorHAnsi"/>
        </w:rPr>
        <w:t>hledáním</w:t>
      </w:r>
      <w:r w:rsidR="006C31A0">
        <w:rPr>
          <w:rFonts w:cstheme="minorHAnsi"/>
        </w:rPr>
        <w:t xml:space="preserve"> úložiště v jejich katastrech. </w:t>
      </w:r>
      <w:r w:rsidR="00FB603F">
        <w:rPr>
          <w:rFonts w:cstheme="minorHAnsi"/>
        </w:rPr>
        <w:t xml:space="preserve">Až </w:t>
      </w:r>
      <w:r>
        <w:rPr>
          <w:rFonts w:cstheme="minorHAnsi"/>
        </w:rPr>
        <w:t xml:space="preserve">12 obcí a měst a 6 spolků z těchto čtyř lokalit </w:t>
      </w:r>
      <w:r w:rsidR="00FB603F">
        <w:rPr>
          <w:rFonts w:cstheme="minorHAnsi"/>
        </w:rPr>
        <w:t>takový postup odmítlo a</w:t>
      </w:r>
      <w:r>
        <w:rPr>
          <w:rFonts w:cstheme="minorHAnsi"/>
        </w:rPr>
        <w:t xml:space="preserve"> vůči tomuto dodatečnému povolení </w:t>
      </w:r>
      <w:r w:rsidR="00FB603F">
        <w:rPr>
          <w:rFonts w:cstheme="minorHAnsi"/>
        </w:rPr>
        <w:t xml:space="preserve">se </w:t>
      </w:r>
      <w:r>
        <w:rPr>
          <w:rFonts w:cstheme="minorHAnsi"/>
        </w:rPr>
        <w:t>odvolalo k ministrovi životního prostředí.</w:t>
      </w:r>
    </w:p>
    <w:p w14:paraId="04D21342" w14:textId="4042E0D1" w:rsidR="008F2865" w:rsidRPr="00747153" w:rsidRDefault="006C31A0" w:rsidP="0039187B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V letošním roce má dojít ke snížení počtu zvažovaných lokalit z devíti (v minulých letech k původním sedmi v tichosti přibyly další dvě poblíž jaderných elektráren Temelín a Dukovany) na čtyři. </w:t>
      </w:r>
      <w:r w:rsidR="00C44487">
        <w:rPr>
          <w:rFonts w:cstheme="minorHAnsi"/>
        </w:rPr>
        <w:t>P</w:t>
      </w:r>
      <w:r w:rsidR="002E6267">
        <w:rPr>
          <w:rFonts w:cstheme="minorHAnsi"/>
        </w:rPr>
        <w:t>ůvodně p</w:t>
      </w:r>
      <w:r w:rsidR="00C44487">
        <w:rPr>
          <w:rFonts w:cstheme="minorHAnsi"/>
        </w:rPr>
        <w:t xml:space="preserve">lánovaný objem geologických dat pro toto rozhodnutí se SÚRAO nepodařilo získat; ať už kvůli nepovedenému výběru dodavatele průzkumných prací v letech 2015-2016 nebo neplatnosti průzkumných území v roce 2017. </w:t>
      </w:r>
      <w:r w:rsidR="002E6267">
        <w:rPr>
          <w:rFonts w:cstheme="minorHAnsi"/>
        </w:rPr>
        <w:t xml:space="preserve">Platforma proti hlubinnému úložišti požaduje zastavení takto </w:t>
      </w:r>
      <w:r w:rsidR="003C200D">
        <w:rPr>
          <w:rFonts w:cstheme="minorHAnsi"/>
        </w:rPr>
        <w:t xml:space="preserve">vedeného výběru, ve kterém </w:t>
      </w:r>
      <w:r w:rsidR="00FB603F">
        <w:rPr>
          <w:rFonts w:cstheme="minorHAnsi"/>
        </w:rPr>
        <w:t>byla ztracena důvěra v postup státních úřadů.</w:t>
      </w:r>
    </w:p>
    <w:p w14:paraId="7993D356" w14:textId="7A641BE3" w:rsidR="007E30AA" w:rsidRPr="007E30AA" w:rsidRDefault="005B692B" w:rsidP="009402AD">
      <w:pPr>
        <w:spacing w:after="120" w:line="276" w:lineRule="auto"/>
        <w:jc w:val="both"/>
        <w:rPr>
          <w:i/>
        </w:rPr>
      </w:pPr>
      <w:r>
        <w:t xml:space="preserve">Petr </w:t>
      </w:r>
      <w:proofErr w:type="spellStart"/>
      <w:r>
        <w:t>Nohava</w:t>
      </w:r>
      <w:proofErr w:type="spellEnd"/>
      <w:r w:rsidR="0052446A" w:rsidRPr="00BA5755">
        <w:t xml:space="preserve">, mluvčí Platformy proti hlubinnému úložišti řekl: </w:t>
      </w:r>
      <w:r>
        <w:rPr>
          <w:i/>
        </w:rPr>
        <w:t>„</w:t>
      </w:r>
      <w:r w:rsidR="00180652">
        <w:rPr>
          <w:i/>
        </w:rPr>
        <w:t xml:space="preserve">SÚRAO upustilo </w:t>
      </w:r>
      <w:r w:rsidR="000417F9">
        <w:rPr>
          <w:i/>
        </w:rPr>
        <w:t xml:space="preserve">od snahy zpětně získat </w:t>
      </w:r>
      <w:r w:rsidR="00180652">
        <w:rPr>
          <w:i/>
        </w:rPr>
        <w:t>povolení k </w:t>
      </w:r>
      <w:r w:rsidR="00FB603F">
        <w:rPr>
          <w:i/>
        </w:rPr>
        <w:t>prací</w:t>
      </w:r>
      <w:r w:rsidR="00180652">
        <w:rPr>
          <w:i/>
        </w:rPr>
        <w:t xml:space="preserve">m, </w:t>
      </w:r>
      <w:r w:rsidR="000417F9">
        <w:rPr>
          <w:i/>
        </w:rPr>
        <w:t>o kterých tvrdilo, že prováděny nebyly</w:t>
      </w:r>
      <w:r w:rsidR="00B3232E">
        <w:rPr>
          <w:i/>
        </w:rPr>
        <w:t>.</w:t>
      </w:r>
      <w:r w:rsidR="000417F9">
        <w:rPr>
          <w:i/>
        </w:rPr>
        <w:t xml:space="preserve"> </w:t>
      </w:r>
      <w:r w:rsidR="00590857">
        <w:rPr>
          <w:i/>
        </w:rPr>
        <w:t>Pro dotčené obce a jejich obyvatele je to jen dílčí úspěch ve snaze o transparentní proces hledání úložiště. Náš hlavní požadavek  - chybějící zákon o zapojení obcí – je i přes sliby a usnesení minulé vlády stále v nedohlednu.</w:t>
      </w:r>
      <w:r w:rsidR="00B3232E">
        <w:rPr>
          <w:i/>
        </w:rPr>
        <w:t xml:space="preserve">“ </w:t>
      </w:r>
    </w:p>
    <w:p w14:paraId="26ACA25E" w14:textId="10709D82" w:rsidR="002A0BA2" w:rsidRPr="00590E7E" w:rsidRDefault="007F78A7" w:rsidP="00D03358">
      <w:pPr>
        <w:spacing w:after="240" w:line="276" w:lineRule="auto"/>
        <w:jc w:val="both"/>
      </w:pPr>
      <w:r w:rsidRPr="00A531A0">
        <w:rPr>
          <w:b/>
        </w:rPr>
        <w:t>Platforma proti</w:t>
      </w:r>
      <w:r w:rsidR="005B692B" w:rsidRPr="00A531A0">
        <w:rPr>
          <w:b/>
        </w:rPr>
        <w:t xml:space="preserve"> hlubinnému úložišti</w:t>
      </w:r>
      <w:r w:rsidR="005B692B">
        <w:t xml:space="preserve"> sdružuje 35 členů (23</w:t>
      </w:r>
      <w:r>
        <w:t xml:space="preserve"> obcí a měst a 12 spolků</w:t>
      </w:r>
      <w:r w:rsidR="005B692B">
        <w:t>)</w:t>
      </w:r>
      <w:r>
        <w:t xml:space="preserve"> za účelem prosazování takového</w:t>
      </w:r>
      <w:r w:rsidRPr="007F78A7">
        <w:t xml:space="preserve"> způsob</w:t>
      </w:r>
      <w:r>
        <w:t>u</w:t>
      </w:r>
      <w:r w:rsidRPr="007F78A7">
        <w:t xml:space="preserve"> hledání řešení problému vyhořelého jaderného paliva a radioaktivních odpadů, který bude otevřený, průhledný a v němž obce a veřejnost budou mít zákony dostatečně garantované možnosti hájit své oprávněné zájmy.</w:t>
      </w:r>
      <w:r>
        <w:t xml:space="preserve"> </w:t>
      </w:r>
      <w:hyperlink r:id="rId7" w:history="1">
        <w:r w:rsidRPr="001F78BB">
          <w:rPr>
            <w:rStyle w:val="Hypertextovodkaz"/>
          </w:rPr>
          <w:t>www.platformaprotiulozisti.cz</w:t>
        </w:r>
      </w:hyperlink>
      <w:r>
        <w:t xml:space="preserve"> </w:t>
      </w:r>
    </w:p>
    <w:p w14:paraId="6B87276D" w14:textId="6796AFA1" w:rsidR="0052446A" w:rsidRPr="00BA5755" w:rsidRDefault="0052446A" w:rsidP="00D03358">
      <w:pPr>
        <w:spacing w:after="80" w:line="240" w:lineRule="auto"/>
        <w:rPr>
          <w:b/>
          <w:bCs/>
          <w:u w:val="single"/>
        </w:rPr>
      </w:pPr>
      <w:r w:rsidRPr="00BA5755">
        <w:rPr>
          <w:b/>
          <w:bCs/>
          <w:u w:val="single"/>
        </w:rPr>
        <w:t>Další informace m</w:t>
      </w:r>
      <w:r w:rsidR="00E95FA4">
        <w:rPr>
          <w:b/>
          <w:bCs/>
          <w:u w:val="single"/>
        </w:rPr>
        <w:t>ů</w:t>
      </w:r>
      <w:r w:rsidR="002625A5">
        <w:rPr>
          <w:b/>
          <w:bCs/>
          <w:u w:val="single"/>
        </w:rPr>
        <w:t>že</w:t>
      </w:r>
      <w:r w:rsidR="003205AB">
        <w:rPr>
          <w:b/>
          <w:bCs/>
          <w:u w:val="single"/>
        </w:rPr>
        <w:t xml:space="preserve"> </w:t>
      </w:r>
      <w:r w:rsidRPr="00BA5755">
        <w:rPr>
          <w:b/>
          <w:bCs/>
          <w:u w:val="single"/>
        </w:rPr>
        <w:t xml:space="preserve">poskytnout: </w:t>
      </w:r>
    </w:p>
    <w:p w14:paraId="566F1809" w14:textId="77777777" w:rsidR="00B42A4D" w:rsidRDefault="005B692B" w:rsidP="00B42A4D">
      <w:pPr>
        <w:spacing w:after="0" w:line="240" w:lineRule="auto"/>
        <w:rPr>
          <w:bCs/>
        </w:rPr>
      </w:pPr>
      <w:r w:rsidRPr="005B692B">
        <w:rPr>
          <w:b/>
          <w:bCs/>
        </w:rPr>
        <w:t xml:space="preserve">Ing. Petr </w:t>
      </w:r>
      <w:proofErr w:type="spellStart"/>
      <w:r w:rsidRPr="005B692B">
        <w:rPr>
          <w:b/>
          <w:bCs/>
        </w:rPr>
        <w:t>Nohava</w:t>
      </w:r>
      <w:proofErr w:type="spellEnd"/>
      <w:r w:rsidRPr="005B692B">
        <w:rPr>
          <w:bCs/>
        </w:rPr>
        <w:t xml:space="preserve">, starosta obce </w:t>
      </w:r>
      <w:proofErr w:type="spellStart"/>
      <w:r w:rsidRPr="005B692B">
        <w:rPr>
          <w:bCs/>
        </w:rPr>
        <w:t>Pluhův</w:t>
      </w:r>
      <w:proofErr w:type="spellEnd"/>
      <w:r w:rsidRPr="005B692B">
        <w:rPr>
          <w:bCs/>
        </w:rPr>
        <w:t xml:space="preserve"> Žďár a mluvčí Platformy proti hlubinnému úložišti</w:t>
      </w:r>
      <w:r w:rsidR="00B42A4D">
        <w:rPr>
          <w:bCs/>
        </w:rPr>
        <w:t xml:space="preserve">,          </w:t>
      </w:r>
    </w:p>
    <w:p w14:paraId="29FB1AD9" w14:textId="7EFA064E" w:rsidR="00492069" w:rsidRDefault="005B692B" w:rsidP="00B42A4D">
      <w:pPr>
        <w:spacing w:afterLines="80" w:after="192" w:line="240" w:lineRule="auto"/>
        <w:rPr>
          <w:rStyle w:val="Hypertextovodkaz"/>
          <w:bCs/>
        </w:rPr>
      </w:pPr>
      <w:r w:rsidRPr="005B692B">
        <w:rPr>
          <w:bCs/>
        </w:rPr>
        <w:t xml:space="preserve">tel.: 725 972 632, email: </w:t>
      </w:r>
      <w:hyperlink r:id="rId8" w:history="1">
        <w:r w:rsidR="00FE38D8" w:rsidRPr="00A46976">
          <w:rPr>
            <w:rStyle w:val="Hypertextovodkaz"/>
            <w:bCs/>
          </w:rPr>
          <w:t>pnohava@gmail.com</w:t>
        </w:r>
      </w:hyperlink>
    </w:p>
    <w:p w14:paraId="425A4F24" w14:textId="77777777" w:rsidR="003C200D" w:rsidRDefault="003C200D" w:rsidP="00B42A4D">
      <w:pPr>
        <w:spacing w:afterLines="80" w:after="192" w:line="240" w:lineRule="auto"/>
        <w:rPr>
          <w:rStyle w:val="Hypertextovodkaz"/>
          <w:bCs/>
        </w:rPr>
      </w:pPr>
    </w:p>
    <w:p w14:paraId="0A42A938" w14:textId="6E5E6157" w:rsidR="002625A5" w:rsidRPr="002625A5" w:rsidRDefault="002625A5" w:rsidP="00B42A4D">
      <w:pPr>
        <w:spacing w:afterLines="80" w:after="192" w:line="240" w:lineRule="auto"/>
        <w:rPr>
          <w:rStyle w:val="Hypertextovodkaz"/>
          <w:b/>
          <w:bCs/>
          <w:color w:val="auto"/>
        </w:rPr>
      </w:pPr>
      <w:r w:rsidRPr="002625A5">
        <w:rPr>
          <w:rStyle w:val="Hypertextovodkaz"/>
          <w:b/>
          <w:bCs/>
          <w:color w:val="auto"/>
        </w:rPr>
        <w:t>Poznámky:</w:t>
      </w:r>
    </w:p>
    <w:p w14:paraId="1A6D6FDE" w14:textId="670DD75B" w:rsidR="002625A5" w:rsidRDefault="002625A5" w:rsidP="002625A5">
      <w:pPr>
        <w:spacing w:after="120"/>
        <w:jc w:val="both"/>
        <w:rPr>
          <w:rFonts w:ascii="Calibri" w:hAnsi="Calibri" w:cs="Times New Roman"/>
        </w:rPr>
      </w:pPr>
      <w:r w:rsidRPr="002625A5">
        <w:rPr>
          <w:rFonts w:cs="Arial"/>
        </w:rPr>
        <w:t>[</w:t>
      </w:r>
      <w:r w:rsidR="006C31A0">
        <w:rPr>
          <w:rFonts w:cs="Arial"/>
        </w:rPr>
        <w:t>1</w:t>
      </w:r>
      <w:r w:rsidRPr="002625A5">
        <w:rPr>
          <w:rFonts w:cs="Arial"/>
        </w:rPr>
        <w:t>]</w:t>
      </w:r>
      <w:r>
        <w:rPr>
          <w:rFonts w:cstheme="minorHAnsi"/>
          <w:b/>
        </w:rPr>
        <w:t xml:space="preserve"> </w:t>
      </w:r>
      <w:r>
        <w:rPr>
          <w:rFonts w:ascii="Calibri" w:hAnsi="Calibri" w:cs="Times New Roman"/>
        </w:rPr>
        <w:t>Správa úložišť radioaktivních odpadů v</w:t>
      </w:r>
      <w:r w:rsidR="002E6267">
        <w:rPr>
          <w:rFonts w:ascii="Calibri" w:hAnsi="Calibri" w:cs="Times New Roman"/>
        </w:rPr>
        <w:t xml:space="preserve"> uplynulém </w:t>
      </w:r>
      <w:r>
        <w:rPr>
          <w:rFonts w:ascii="Calibri" w:hAnsi="Calibri" w:cs="Times New Roman"/>
        </w:rPr>
        <w:t xml:space="preserve">roce mnohokrát otevřeně sdělila, že průzkumné území nepotřebuje a ani nepotřebovala, aby získala informace potřebné pro rozhodnutí o vhodnosti lokalit pro hlubinné úložiště. Například: </w:t>
      </w:r>
      <w:r w:rsidRPr="002273E0">
        <w:rPr>
          <w:rFonts w:ascii="Calibri" w:hAnsi="Calibri" w:cs="Times New Roman"/>
          <w:i/>
        </w:rPr>
        <w:t xml:space="preserve">„SÚRAO konstatuje, že zamítavé stanovisko MŽP (k prodloužení tzv. „průzkumného území pro zvláštní zásah do zemské kůry“) nemá vliv na průběh hodnocení stávajících lokalit.“ </w:t>
      </w:r>
      <w:r>
        <w:rPr>
          <w:rFonts w:ascii="Calibri" w:hAnsi="Calibri" w:cs="Times New Roman"/>
        </w:rPr>
        <w:t xml:space="preserve">(zdroj: </w:t>
      </w:r>
      <w:hyperlink r:id="rId9" w:history="1">
        <w:r w:rsidRPr="00CC4307">
          <w:rPr>
            <w:rStyle w:val="Hypertextovodkaz"/>
            <w:rFonts w:ascii="Calibri" w:hAnsi="Calibri" w:cs="Times New Roman"/>
          </w:rPr>
          <w:t>https://www.surao.cz/clanek-406-stanovisko-surao-k-zastaveni-rizeni-k-prodlouzeni-platnosti-stanoveni-pruzkumnych-uzemi-na-7-lokalitach</w:t>
        </w:r>
      </w:hyperlink>
      <w:r>
        <w:rPr>
          <w:rFonts w:ascii="Calibri" w:hAnsi="Calibri" w:cs="Times New Roman"/>
        </w:rPr>
        <w:t xml:space="preserve">), obdobně ve zpravodaji Zprávy ze Správy z jara 2017 nebo podzimu 2017 (viz </w:t>
      </w:r>
      <w:hyperlink r:id="rId10" w:history="1">
        <w:r w:rsidRPr="00CC4307">
          <w:rPr>
            <w:rStyle w:val="Hypertextovodkaz"/>
            <w:rFonts w:ascii="Calibri" w:hAnsi="Calibri" w:cs="Times New Roman"/>
          </w:rPr>
          <w:t>www.surao.cz</w:t>
        </w:r>
      </w:hyperlink>
      <w:r>
        <w:rPr>
          <w:rFonts w:ascii="Calibri" w:hAnsi="Calibri" w:cs="Times New Roman"/>
        </w:rPr>
        <w:t>) a v dalších veřejných vyjádřeních představitelů SÚRAO.</w:t>
      </w:r>
    </w:p>
    <w:p w14:paraId="7369577C" w14:textId="380A007B" w:rsidR="002625A5" w:rsidRDefault="002625A5" w:rsidP="002625A5">
      <w:pPr>
        <w:spacing w:after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Geologické práce, které měly proběhnout jako geologické průzkumy v souladu se zákonem č. 62/1988 Sb., o geologických pracích byly Správou úložišť účelově označeny jako geologické výzkumy a v plném rozsahu podle schválených Projektů</w:t>
      </w:r>
      <w:r w:rsidRPr="00EC1C95">
        <w:rPr>
          <w:rFonts w:ascii="Calibri" w:hAnsi="Calibri" w:cs="Times New Roman"/>
        </w:rPr>
        <w:t xml:space="preserve"> geologicko-průzkumných prací</w:t>
      </w:r>
      <w:r>
        <w:rPr>
          <w:rFonts w:ascii="Calibri" w:hAnsi="Calibri" w:cs="Times New Roman"/>
        </w:rPr>
        <w:t xml:space="preserve"> pro jednotlivé lokality proběhly nebo dosud probíhají v rámci uzavřených zakázek, které SÚRAO zadala.  </w:t>
      </w:r>
    </w:p>
    <w:p w14:paraId="3EAE079C" w14:textId="0BD5CC6E" w:rsidR="00063A7C" w:rsidRDefault="00063A7C" w:rsidP="00063A7C">
      <w:pPr>
        <w:spacing w:after="12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SÚRAO potvrdil</w:t>
      </w:r>
      <w:r w:rsidR="00FE0C47">
        <w:rPr>
          <w:rFonts w:ascii="Calibri" w:hAnsi="Calibri" w:cs="Times New Roman"/>
        </w:rPr>
        <w:t>a</w:t>
      </w:r>
      <w:r>
        <w:rPr>
          <w:rFonts w:ascii="Calibri" w:hAnsi="Calibri" w:cs="Times New Roman"/>
        </w:rPr>
        <w:t xml:space="preserve"> nepotřebnost prodloužení doby platnosti průzkumných území také ve sdělení Ministerstvu životního prostředí</w:t>
      </w:r>
      <w:r w:rsidRPr="00D30956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z 22. 11. 2017. Přestože v roce 2017 neměl</w:t>
      </w:r>
      <w:r w:rsidR="00FE0C47">
        <w:rPr>
          <w:rFonts w:ascii="Calibri" w:hAnsi="Calibri" w:cs="Times New Roman"/>
        </w:rPr>
        <w:t>a</w:t>
      </w:r>
      <w:r>
        <w:rPr>
          <w:rFonts w:ascii="Calibri" w:hAnsi="Calibri" w:cs="Times New Roman"/>
        </w:rPr>
        <w:t xml:space="preserve"> platná průzkumná území, zjistil</w:t>
      </w:r>
      <w:r w:rsidR="00FE0C47">
        <w:rPr>
          <w:rFonts w:ascii="Calibri" w:hAnsi="Calibri" w:cs="Times New Roman"/>
        </w:rPr>
        <w:t>a</w:t>
      </w:r>
      <w:r>
        <w:rPr>
          <w:rFonts w:ascii="Calibri" w:hAnsi="Calibri" w:cs="Times New Roman"/>
        </w:rPr>
        <w:t xml:space="preserve"> potřebná data: </w:t>
      </w:r>
      <w:r>
        <w:rPr>
          <w:rFonts w:ascii="Calibri" w:hAnsi="Calibri" w:cs="Times New Roman"/>
          <w:i/>
        </w:rPr>
        <w:t>„N</w:t>
      </w:r>
      <w:r w:rsidRPr="00092049">
        <w:rPr>
          <w:rFonts w:ascii="Calibri" w:hAnsi="Calibri" w:cs="Times New Roman"/>
          <w:i/>
        </w:rPr>
        <w:t>a základě vyhodnocení dat získaných v rámci geologických prací učinil žadatel závěr, že v dané lokalitě již disponuje dostatečným množstvím geologických dat, jejichž získání bylo účelem dané etapy průzkumných geologických prací.“</w:t>
      </w:r>
      <w:r>
        <w:rPr>
          <w:rFonts w:ascii="Calibri" w:hAnsi="Calibri" w:cs="Times New Roman"/>
          <w:i/>
        </w:rPr>
        <w:t xml:space="preserve"> </w:t>
      </w:r>
    </w:p>
    <w:p w14:paraId="3A62763A" w14:textId="190BBA5E" w:rsidR="002625A5" w:rsidRDefault="00063A7C" w:rsidP="00332AA1">
      <w:pPr>
        <w:spacing w:afterLines="80" w:after="192" w:line="240" w:lineRule="auto"/>
        <w:jc w:val="both"/>
        <w:rPr>
          <w:bCs/>
        </w:rPr>
      </w:pPr>
      <w:r w:rsidRPr="002625A5">
        <w:rPr>
          <w:rFonts w:cs="Arial"/>
        </w:rPr>
        <w:t>[</w:t>
      </w:r>
      <w:r w:rsidR="00B85C1C">
        <w:rPr>
          <w:rFonts w:cs="Arial"/>
        </w:rPr>
        <w:t>2</w:t>
      </w:r>
      <w:r w:rsidRPr="002625A5">
        <w:rPr>
          <w:rFonts w:cs="Arial"/>
        </w:rPr>
        <w:t>]</w:t>
      </w:r>
      <w:r>
        <w:rPr>
          <w:rFonts w:cs="Arial"/>
        </w:rPr>
        <w:t xml:space="preserve"> V souladu s atomovým zákonem č. 263/2016 Sb. jsou vypláceny finanční příspěvky z jaderného účtu obcím, na jejichž území jsou stanovena průzkumná území pro zvláštní zásahy do zemské kůry pro vyhledávání úložiště. Celkem to každoročně činí více než 93 milionů korun</w:t>
      </w:r>
      <w:r w:rsidR="002E6267">
        <w:rPr>
          <w:rFonts w:cs="Arial"/>
        </w:rPr>
        <w:t xml:space="preserve"> pro všech sedm lokalit</w:t>
      </w:r>
      <w:r>
        <w:rPr>
          <w:rFonts w:cs="Arial"/>
        </w:rPr>
        <w:t>.</w:t>
      </w:r>
      <w:bookmarkEnd w:id="0"/>
    </w:p>
    <w:sectPr w:rsidR="002625A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0DEC1" w14:textId="77777777" w:rsidR="009B6ABD" w:rsidRDefault="009B6ABD" w:rsidP="00965111">
      <w:pPr>
        <w:spacing w:after="0" w:line="240" w:lineRule="auto"/>
      </w:pPr>
      <w:r>
        <w:separator/>
      </w:r>
    </w:p>
  </w:endnote>
  <w:endnote w:type="continuationSeparator" w:id="0">
    <w:p w14:paraId="141F6DEB" w14:textId="77777777" w:rsidR="009B6ABD" w:rsidRDefault="009B6ABD" w:rsidP="0096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FAC4E" w14:textId="77777777" w:rsidR="009B6ABD" w:rsidRDefault="009B6ABD" w:rsidP="00965111">
      <w:pPr>
        <w:spacing w:after="0" w:line="240" w:lineRule="auto"/>
      </w:pPr>
      <w:r>
        <w:separator/>
      </w:r>
    </w:p>
  </w:footnote>
  <w:footnote w:type="continuationSeparator" w:id="0">
    <w:p w14:paraId="4C23A937" w14:textId="77777777" w:rsidR="009B6ABD" w:rsidRDefault="009B6ABD" w:rsidP="0096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D33DC" w14:textId="77777777" w:rsidR="000E3645" w:rsidRDefault="000E3645">
    <w:pPr>
      <w:pStyle w:val="Zhlav"/>
    </w:pPr>
    <w:r>
      <w:rPr>
        <w:noProof/>
        <w:lang w:eastAsia="cs-CZ"/>
      </w:rPr>
      <w:drawing>
        <wp:inline distT="0" distB="0" distL="0" distR="0" wp14:anchorId="590BE6D6" wp14:editId="38A382F3">
          <wp:extent cx="2905125" cy="9525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1124" cy="964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CB43DB" w14:textId="77777777" w:rsidR="000E3645" w:rsidRDefault="000E36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03A2F"/>
    <w:multiLevelType w:val="hybridMultilevel"/>
    <w:tmpl w:val="08781F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040A4"/>
    <w:multiLevelType w:val="hybridMultilevel"/>
    <w:tmpl w:val="35A6A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E78E1"/>
    <w:multiLevelType w:val="hybridMultilevel"/>
    <w:tmpl w:val="61F0C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546AA"/>
    <w:multiLevelType w:val="hybridMultilevel"/>
    <w:tmpl w:val="B134CB5E"/>
    <w:lvl w:ilvl="0" w:tplc="091A655A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41112"/>
    <w:multiLevelType w:val="hybridMultilevel"/>
    <w:tmpl w:val="45682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10B7"/>
    <w:multiLevelType w:val="hybridMultilevel"/>
    <w:tmpl w:val="EF483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4698F"/>
    <w:multiLevelType w:val="hybridMultilevel"/>
    <w:tmpl w:val="08781F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11"/>
    <w:rsid w:val="00005FC2"/>
    <w:rsid w:val="00012AAC"/>
    <w:rsid w:val="00013CCE"/>
    <w:rsid w:val="000232D0"/>
    <w:rsid w:val="00030DCA"/>
    <w:rsid w:val="000417F9"/>
    <w:rsid w:val="00044F66"/>
    <w:rsid w:val="00052158"/>
    <w:rsid w:val="00056B1D"/>
    <w:rsid w:val="00063A7C"/>
    <w:rsid w:val="00075707"/>
    <w:rsid w:val="00084AC1"/>
    <w:rsid w:val="00090C41"/>
    <w:rsid w:val="000951D6"/>
    <w:rsid w:val="000A2023"/>
    <w:rsid w:val="000A39EA"/>
    <w:rsid w:val="000D3ABB"/>
    <w:rsid w:val="000E3645"/>
    <w:rsid w:val="00127C78"/>
    <w:rsid w:val="00135D60"/>
    <w:rsid w:val="00141586"/>
    <w:rsid w:val="00145C16"/>
    <w:rsid w:val="0015538F"/>
    <w:rsid w:val="00162F86"/>
    <w:rsid w:val="00180652"/>
    <w:rsid w:val="00185E05"/>
    <w:rsid w:val="00190F1F"/>
    <w:rsid w:val="00196CA9"/>
    <w:rsid w:val="001B54BA"/>
    <w:rsid w:val="001D31D0"/>
    <w:rsid w:val="001D36C3"/>
    <w:rsid w:val="001E3400"/>
    <w:rsid w:val="00224FB0"/>
    <w:rsid w:val="00242F09"/>
    <w:rsid w:val="00245DB9"/>
    <w:rsid w:val="002625A5"/>
    <w:rsid w:val="00270B85"/>
    <w:rsid w:val="002729BD"/>
    <w:rsid w:val="00273E50"/>
    <w:rsid w:val="0027649D"/>
    <w:rsid w:val="002956E7"/>
    <w:rsid w:val="00297673"/>
    <w:rsid w:val="002A0BA2"/>
    <w:rsid w:val="002A0D4B"/>
    <w:rsid w:val="002B0E2B"/>
    <w:rsid w:val="002B1D36"/>
    <w:rsid w:val="002D0F22"/>
    <w:rsid w:val="002E6267"/>
    <w:rsid w:val="003006CD"/>
    <w:rsid w:val="003155BD"/>
    <w:rsid w:val="003205AB"/>
    <w:rsid w:val="00320C86"/>
    <w:rsid w:val="0032525E"/>
    <w:rsid w:val="00332AA1"/>
    <w:rsid w:val="00337279"/>
    <w:rsid w:val="00337E0A"/>
    <w:rsid w:val="0036740B"/>
    <w:rsid w:val="00375508"/>
    <w:rsid w:val="00384765"/>
    <w:rsid w:val="00391866"/>
    <w:rsid w:val="0039187B"/>
    <w:rsid w:val="003B130F"/>
    <w:rsid w:val="003B2708"/>
    <w:rsid w:val="003C1079"/>
    <w:rsid w:val="003C200D"/>
    <w:rsid w:val="003C5FCC"/>
    <w:rsid w:val="003F063F"/>
    <w:rsid w:val="003F0F91"/>
    <w:rsid w:val="003F1A69"/>
    <w:rsid w:val="003F6CBF"/>
    <w:rsid w:val="003F7D5D"/>
    <w:rsid w:val="004124C0"/>
    <w:rsid w:val="00417696"/>
    <w:rsid w:val="0045623F"/>
    <w:rsid w:val="00463152"/>
    <w:rsid w:val="00464950"/>
    <w:rsid w:val="0047082B"/>
    <w:rsid w:val="00484786"/>
    <w:rsid w:val="00487663"/>
    <w:rsid w:val="00492069"/>
    <w:rsid w:val="004A05E8"/>
    <w:rsid w:val="004A442B"/>
    <w:rsid w:val="004C5FCD"/>
    <w:rsid w:val="004D0D26"/>
    <w:rsid w:val="005049C6"/>
    <w:rsid w:val="0052446A"/>
    <w:rsid w:val="005339CA"/>
    <w:rsid w:val="0053455E"/>
    <w:rsid w:val="0054125B"/>
    <w:rsid w:val="00545B17"/>
    <w:rsid w:val="00566351"/>
    <w:rsid w:val="00575116"/>
    <w:rsid w:val="00590857"/>
    <w:rsid w:val="00590E7E"/>
    <w:rsid w:val="005945E5"/>
    <w:rsid w:val="005A595B"/>
    <w:rsid w:val="005A7901"/>
    <w:rsid w:val="005B692B"/>
    <w:rsid w:val="005B70AF"/>
    <w:rsid w:val="005F3EA4"/>
    <w:rsid w:val="005F409A"/>
    <w:rsid w:val="006141AE"/>
    <w:rsid w:val="006164D5"/>
    <w:rsid w:val="006221BD"/>
    <w:rsid w:val="00626B7E"/>
    <w:rsid w:val="00631C6B"/>
    <w:rsid w:val="00633430"/>
    <w:rsid w:val="00634AD1"/>
    <w:rsid w:val="006361F1"/>
    <w:rsid w:val="006365E0"/>
    <w:rsid w:val="006518AC"/>
    <w:rsid w:val="006536BC"/>
    <w:rsid w:val="00660AEB"/>
    <w:rsid w:val="00667872"/>
    <w:rsid w:val="0068086C"/>
    <w:rsid w:val="006853E3"/>
    <w:rsid w:val="006B2028"/>
    <w:rsid w:val="006B4DD0"/>
    <w:rsid w:val="006C31A0"/>
    <w:rsid w:val="006C653A"/>
    <w:rsid w:val="006E46CE"/>
    <w:rsid w:val="006E7785"/>
    <w:rsid w:val="0071063C"/>
    <w:rsid w:val="00735779"/>
    <w:rsid w:val="00742C92"/>
    <w:rsid w:val="007444EC"/>
    <w:rsid w:val="00747153"/>
    <w:rsid w:val="00770F0C"/>
    <w:rsid w:val="00784DAE"/>
    <w:rsid w:val="007A17BF"/>
    <w:rsid w:val="007B2C87"/>
    <w:rsid w:val="007C7A7E"/>
    <w:rsid w:val="007D23BD"/>
    <w:rsid w:val="007D6BAF"/>
    <w:rsid w:val="007D7B6E"/>
    <w:rsid w:val="007E30AA"/>
    <w:rsid w:val="007F78A7"/>
    <w:rsid w:val="008265BF"/>
    <w:rsid w:val="008330A1"/>
    <w:rsid w:val="00846B08"/>
    <w:rsid w:val="0085256F"/>
    <w:rsid w:val="008B560E"/>
    <w:rsid w:val="008C6A0D"/>
    <w:rsid w:val="008D1E0F"/>
    <w:rsid w:val="008D5FB4"/>
    <w:rsid w:val="008E0DAA"/>
    <w:rsid w:val="008E7E83"/>
    <w:rsid w:val="008F2865"/>
    <w:rsid w:val="008F730E"/>
    <w:rsid w:val="009020AB"/>
    <w:rsid w:val="009402AD"/>
    <w:rsid w:val="00941AA8"/>
    <w:rsid w:val="009527E2"/>
    <w:rsid w:val="0095582F"/>
    <w:rsid w:val="00965111"/>
    <w:rsid w:val="00975C4A"/>
    <w:rsid w:val="009A21AB"/>
    <w:rsid w:val="009B20CB"/>
    <w:rsid w:val="009B6ABD"/>
    <w:rsid w:val="009B74DA"/>
    <w:rsid w:val="009D3B95"/>
    <w:rsid w:val="009D51E8"/>
    <w:rsid w:val="009E0AAE"/>
    <w:rsid w:val="009E74C3"/>
    <w:rsid w:val="009F4203"/>
    <w:rsid w:val="00A00D19"/>
    <w:rsid w:val="00A0295C"/>
    <w:rsid w:val="00A531A0"/>
    <w:rsid w:val="00A65F28"/>
    <w:rsid w:val="00A71748"/>
    <w:rsid w:val="00A73CF7"/>
    <w:rsid w:val="00A85426"/>
    <w:rsid w:val="00AA0BBF"/>
    <w:rsid w:val="00AA1C91"/>
    <w:rsid w:val="00AC06FB"/>
    <w:rsid w:val="00AF6FCF"/>
    <w:rsid w:val="00B03EAB"/>
    <w:rsid w:val="00B3232E"/>
    <w:rsid w:val="00B4220D"/>
    <w:rsid w:val="00B42A4D"/>
    <w:rsid w:val="00B4544E"/>
    <w:rsid w:val="00B52894"/>
    <w:rsid w:val="00B702A4"/>
    <w:rsid w:val="00B80E40"/>
    <w:rsid w:val="00B84F99"/>
    <w:rsid w:val="00B85C1C"/>
    <w:rsid w:val="00B943EA"/>
    <w:rsid w:val="00B97D99"/>
    <w:rsid w:val="00BA5755"/>
    <w:rsid w:val="00BB038F"/>
    <w:rsid w:val="00BB53D9"/>
    <w:rsid w:val="00BC08A8"/>
    <w:rsid w:val="00BC2689"/>
    <w:rsid w:val="00BD0DF4"/>
    <w:rsid w:val="00BD2F66"/>
    <w:rsid w:val="00BD3DA8"/>
    <w:rsid w:val="00BD68E1"/>
    <w:rsid w:val="00BE06EB"/>
    <w:rsid w:val="00C10D9F"/>
    <w:rsid w:val="00C135DE"/>
    <w:rsid w:val="00C2180D"/>
    <w:rsid w:val="00C21B70"/>
    <w:rsid w:val="00C44487"/>
    <w:rsid w:val="00C6155A"/>
    <w:rsid w:val="00C76B2F"/>
    <w:rsid w:val="00CA643D"/>
    <w:rsid w:val="00CD6383"/>
    <w:rsid w:val="00D03358"/>
    <w:rsid w:val="00D117F2"/>
    <w:rsid w:val="00D22DAD"/>
    <w:rsid w:val="00D25426"/>
    <w:rsid w:val="00D267EF"/>
    <w:rsid w:val="00D378A6"/>
    <w:rsid w:val="00D51934"/>
    <w:rsid w:val="00D64D6D"/>
    <w:rsid w:val="00D969DE"/>
    <w:rsid w:val="00DB5C58"/>
    <w:rsid w:val="00DC526C"/>
    <w:rsid w:val="00DE47C9"/>
    <w:rsid w:val="00E06F41"/>
    <w:rsid w:val="00E24744"/>
    <w:rsid w:val="00E320B1"/>
    <w:rsid w:val="00E32631"/>
    <w:rsid w:val="00E32ABD"/>
    <w:rsid w:val="00E344E0"/>
    <w:rsid w:val="00E40728"/>
    <w:rsid w:val="00E46AE1"/>
    <w:rsid w:val="00E85E96"/>
    <w:rsid w:val="00E86D2C"/>
    <w:rsid w:val="00E94872"/>
    <w:rsid w:val="00E95FA4"/>
    <w:rsid w:val="00EC358E"/>
    <w:rsid w:val="00ED4DC7"/>
    <w:rsid w:val="00F01F2F"/>
    <w:rsid w:val="00F06E81"/>
    <w:rsid w:val="00F230ED"/>
    <w:rsid w:val="00F25902"/>
    <w:rsid w:val="00F25CA4"/>
    <w:rsid w:val="00F373F4"/>
    <w:rsid w:val="00F45938"/>
    <w:rsid w:val="00F55CD6"/>
    <w:rsid w:val="00F67452"/>
    <w:rsid w:val="00F77B49"/>
    <w:rsid w:val="00F84200"/>
    <w:rsid w:val="00F9196C"/>
    <w:rsid w:val="00F9763F"/>
    <w:rsid w:val="00FA1F55"/>
    <w:rsid w:val="00FB440F"/>
    <w:rsid w:val="00FB44FB"/>
    <w:rsid w:val="00FB4F46"/>
    <w:rsid w:val="00FB603F"/>
    <w:rsid w:val="00FC3C6C"/>
    <w:rsid w:val="00FE0C47"/>
    <w:rsid w:val="00FE38D8"/>
    <w:rsid w:val="00FF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6D48"/>
  <w15:docId w15:val="{5F7DCA98-7CE2-4A4B-A72A-4B08015C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9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6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uiPriority w:val="34"/>
    <w:qFormat/>
    <w:rsid w:val="00295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character" w:styleId="Siln">
    <w:name w:val="Strong"/>
    <w:basedOn w:val="Standardnpsmoodstavce"/>
    <w:qFormat/>
    <w:rsid w:val="005244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90C4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69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337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7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hav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tformaprotiulozist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ura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rao.cz/clanek-406-stanovisko-surao-k-zastaveni-rizeni-k-prodlouzeni-platnosti-stanoveni-pruzkumnych-uzemi-na-7-lokalita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petrn</dc:creator>
  <cp:revision>2</cp:revision>
  <cp:lastPrinted>2018-02-02T08:01:00Z</cp:lastPrinted>
  <dcterms:created xsi:type="dcterms:W3CDTF">2018-02-02T08:06:00Z</dcterms:created>
  <dcterms:modified xsi:type="dcterms:W3CDTF">2018-02-02T08:06:00Z</dcterms:modified>
</cp:coreProperties>
</file>